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pPr>
      <w:r>
        <w:rPr>
          <w:rFonts w:ascii="Calibri" w:cs="Calibri" w:eastAsia="Calibri" w:hAnsi="Calibri"/>
          <w:b/>
          <w:bCs/>
          <w:color w:val="D97757"/>
          <w:sz w:val="20"/>
          <w:szCs w:val="20"/>
        </w:rPr>
        <w:t xml:space="preserve">TEMPLATE</w:t>
      </w:r>
    </w:p>
    <w:p>
      <w:pPr>
        <w:spacing w:after="0" w:before="100"/>
      </w:pPr>
      <w:r>
        <w:rPr>
          <w:rFonts w:ascii="Calibri" w:cs="Calibri" w:eastAsia="Calibri" w:hAnsi="Calibri"/>
          <w:b/>
          <w:bCs/>
          <w:color w:val="0F172A"/>
          <w:sz w:val="52"/>
          <w:szCs w:val="52"/>
        </w:rPr>
        <w:t xml:space="preserve">Request for Proposal</w:t>
      </w:r>
    </w:p>
    <w:p>
      <w:pPr>
        <w:spacing w:after="240" w:before="40"/>
      </w:pPr>
      <w:r>
        <w:rPr>
          <w:rFonts w:ascii="Calibri" w:cs="Calibri" w:eastAsia="Calibri" w:hAnsi="Calibri"/>
          <w:b/>
          <w:bCs/>
          <w:color w:val="2563EB"/>
          <w:sz w:val="34"/>
          <w:szCs w:val="34"/>
        </w:rPr>
        <w:t xml:space="preserve">eLearning Content Development Services</w:t>
      </w:r>
    </w:p>
    <w:p>
      <w:pPr>
        <w:spacing w:after="120" w:before="0" w:line="280"/>
      </w:pPr>
      <w:r>
        <w:rPr>
          <w:rFonts w:ascii="Calibri" w:cs="Calibri" w:eastAsia="Calibri" w:hAnsi="Calibri"/>
          <w:color w:val="64748B"/>
          <w:sz w:val="24"/>
          <w:szCs w:val="24"/>
        </w:rPr>
        <w:t xml:space="preserve">With a weighted scoring rubric, pass/fail gates, IP and source-file clauses, and a vendor question set.</w:t>
      </w:r>
    </w:p>
    <w:p>
      <w:pPr>
        <w:pBdr>
          <w:top w:val="single" w:color="CBD5E1" w:sz="6" w:space="10"/>
        </w:pBdr>
        <w:spacing w:after="0" w:before="400"/>
      </w:pPr>
      <w:r>
        <w:t xml:space="preserve"/>
      </w:r>
    </w:p>
    <w:p>
      <w:pPr>
        <w:shd w:fill="F1F5F9" w:val="clear"/>
        <w:spacing w:after="160" w:line="280"/>
      </w:pPr>
      <w:r>
        <w:rPr>
          <w:rFonts w:ascii="Calibri" w:cs="Calibri" w:eastAsia="Calibri" w:hAnsi="Calibri"/>
          <w:b/>
          <w:bCs/>
          <w:color w:val="0F172A"/>
          <w:sz w:val="21"/>
          <w:szCs w:val="21"/>
        </w:rPr>
        <w:t xml:space="preserve">Issuing organisation:  </w:t>
      </w:r>
      <w:r>
        <w:rPr>
          <w:rFonts w:ascii="Calibri" w:cs="Calibri" w:eastAsia="Calibri" w:hAnsi="Calibri"/>
          <w:i/>
          <w:iCs/>
          <w:color w:val="64748B"/>
          <w:sz w:val="21"/>
          <w:szCs w:val="21"/>
        </w:rPr>
        <w:t xml:space="preserve">[ legal entity name ]</w:t>
      </w:r>
    </w:p>
    <w:p>
      <w:pPr>
        <w:shd w:fill="F1F5F9" w:val="clear"/>
        <w:spacing w:after="160" w:line="280"/>
      </w:pPr>
      <w:r>
        <w:rPr>
          <w:rFonts w:ascii="Calibri" w:cs="Calibri" w:eastAsia="Calibri" w:hAnsi="Calibri"/>
          <w:b/>
          <w:bCs/>
          <w:color w:val="0F172A"/>
          <w:sz w:val="21"/>
          <w:szCs w:val="21"/>
        </w:rPr>
        <w:t xml:space="preserve">RFP reference number: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Issue date: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Clarification questions due:  </w:t>
      </w:r>
      <w:r>
        <w:rPr>
          <w:rFonts w:ascii="Calibri" w:cs="Calibri" w:eastAsia="Calibri" w:hAnsi="Calibri"/>
          <w:i/>
          <w:iCs/>
          <w:color w:val="64748B"/>
          <w:sz w:val="21"/>
          <w:szCs w:val="21"/>
        </w:rPr>
        <w:t xml:space="preserve">[ date and time, with time zone ]</w:t>
      </w:r>
    </w:p>
    <w:p>
      <w:pPr>
        <w:shd w:fill="F1F5F9" w:val="clear"/>
        <w:spacing w:after="160" w:line="280"/>
      </w:pPr>
      <w:r>
        <w:rPr>
          <w:rFonts w:ascii="Calibri" w:cs="Calibri" w:eastAsia="Calibri" w:hAnsi="Calibri"/>
          <w:b/>
          <w:bCs/>
          <w:color w:val="0F172A"/>
          <w:sz w:val="21"/>
          <w:szCs w:val="21"/>
        </w:rPr>
        <w:t xml:space="preserve">Answers circulated to all bidders: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Proposal deadline:  </w:t>
      </w:r>
      <w:r>
        <w:rPr>
          <w:rFonts w:ascii="Calibri" w:cs="Calibri" w:eastAsia="Calibri" w:hAnsi="Calibri"/>
          <w:i/>
          <w:iCs/>
          <w:color w:val="64748B"/>
          <w:sz w:val="21"/>
          <w:szCs w:val="21"/>
        </w:rPr>
        <w:t xml:space="preserve">[ date and time, with time zone ]</w:t>
      </w:r>
    </w:p>
    <w:p>
      <w:pPr>
        <w:shd w:fill="F1F5F9" w:val="clear"/>
        <w:spacing w:after="160" w:line="280"/>
      </w:pPr>
      <w:r>
        <w:rPr>
          <w:rFonts w:ascii="Calibri" w:cs="Calibri" w:eastAsia="Calibri" w:hAnsi="Calibri"/>
          <w:b/>
          <w:bCs/>
          <w:color w:val="0F172A"/>
          <w:sz w:val="21"/>
          <w:szCs w:val="21"/>
        </w:rPr>
        <w:t xml:space="preserve">Evaluation period: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Shortlist exercise / demo week: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Intended award date: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Contract start: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Submit to:  </w:t>
      </w:r>
      <w:r>
        <w:rPr>
          <w:rFonts w:ascii="Calibri" w:cs="Calibri" w:eastAsia="Calibri" w:hAnsi="Calibri"/>
          <w:i/>
          <w:iCs/>
          <w:color w:val="64748B"/>
          <w:sz w:val="21"/>
          <w:szCs w:val="21"/>
        </w:rPr>
        <w:t xml:space="preserve">[ email address or portal ]</w:t>
      </w:r>
    </w:p>
    <w:p>
      <w:pPr>
        <w:shd w:fill="F1F5F9" w:val="clear"/>
        <w:spacing w:after="160" w:line="280"/>
      </w:pPr>
      <w:r>
        <w:rPr>
          <w:rFonts w:ascii="Calibri" w:cs="Calibri" w:eastAsia="Calibri" w:hAnsi="Calibri"/>
          <w:b/>
          <w:bCs/>
          <w:color w:val="0F172A"/>
          <w:sz w:val="21"/>
          <w:szCs w:val="21"/>
        </w:rPr>
        <w:t xml:space="preserve">Proposal validity period:  </w:t>
      </w:r>
      <w:r>
        <w:rPr>
          <w:rFonts w:ascii="Calibri" w:cs="Calibri" w:eastAsia="Calibri" w:hAnsi="Calibri"/>
          <w:i/>
          <w:iCs/>
          <w:color w:val="64748B"/>
          <w:sz w:val="21"/>
          <w:szCs w:val="21"/>
        </w:rPr>
        <w:t xml:space="preserve">[ e.g. 120 days from the deadline ]</w:t>
      </w:r>
    </w:p>
    <w:p>
      <w:pPr>
        <w:spacing w:before="500"/>
      </w:pPr>
      <w:r>
        <w:rPr>
          <w:rFonts w:ascii="Calibri" w:cs="Calibri" w:eastAsia="Calibri" w:hAnsi="Calibri"/>
          <w:color w:val="64748B"/>
          <w:sz w:val="19"/>
          <w:szCs w:val="19"/>
        </w:rPr>
        <w:t xml:space="preserve">Published free and ungated by EdzLMS. Adapt it, rebrand it, delete what does not apply. </w:t>
      </w:r>
      <w:hyperlink w:history="1" r:id="rIdlznnhinq5zpzva0ehrea7">
        <w:r>
          <w:rPr>
            <w:rFonts w:ascii="Calibri" w:cs="Calibri" w:eastAsia="Calibri" w:hAnsi="Calibri"/>
            <w:color w:val="2563EB"/>
            <w:sz w:val="19"/>
            <w:szCs w:val="19"/>
            <w:u w:val="single"/>
          </w:rPr>
          <w:t xml:space="preserve">edzlms.com/elearning-rfp-template</w:t>
        </w:r>
      </w:hyperlink>
    </w:p>
    <w:p>
      <w:pPr>
        <w:spacing w:after="120" w:before="0" w:line="280"/>
      </w:pPr>
      <w:r>
        <w:rPr>
          <w:rFonts w:ascii="Calibri" w:cs="Calibri" w:eastAsia="Calibri" w:hAnsi="Calibri"/>
          <w:i/>
          <w:iCs/>
          <w:color w:val="64748B"/>
          <w:sz w:val="18"/>
          <w:szCs w:val="18"/>
        </w:rPr>
        <w:t xml:space="preserve">This template is provided as-is and is not legal advice. Have your own counsel review the intellectual property, indemnity, data protection and termination provisions before you issue it.</w:t>
      </w:r>
    </w:p>
    <w:p>
      <w:r>
        <w:br w:type="page"/>
      </w:r>
    </w:p>
    <w:p>
      <w:pPr>
        <w:pStyle w:val="Heading1"/>
        <w:spacing w:after="160" w:before="360"/>
      </w:pPr>
      <w:r>
        <w:rPr>
          <w:rFonts w:ascii="Calibri" w:cs="Calibri" w:eastAsia="Calibri" w:hAnsi="Calibri"/>
          <w:b/>
          <w:bCs/>
          <w:color w:val="0F172A"/>
          <w:sz w:val="30"/>
          <w:szCs w:val="30"/>
        </w:rPr>
        <w:t xml:space="preserve">How to use this template</w:t>
      </w:r>
    </w:p>
    <w:p>
      <w:pPr>
        <w:pStyle w:val="ListParagraph"/>
        <w:numPr>
          <w:ilvl w:val="0"/>
          <w:numId w:val="2"/>
        </w:numPr>
        <w:spacing w:after="90" w:line="280"/>
      </w:pPr>
      <w:r>
        <w:rPr>
          <w:rFonts w:ascii="Calibri" w:cs="Calibri" w:eastAsia="Calibri" w:hAnsi="Calibri"/>
          <w:color w:val="1E293B"/>
          <w:sz w:val="21"/>
          <w:szCs w:val="21"/>
        </w:rPr>
        <w:t xml:space="preserve">Work through Part A and fill every bracketed field. Delete any section that genuinely does not apply — an RFP with obvious filler teaches bidders that the rest of it is filler too.</w:t>
      </w:r>
    </w:p>
    <w:p>
      <w:pPr>
        <w:pStyle w:val="ListParagraph"/>
        <w:numPr>
          <w:ilvl w:val="0"/>
          <w:numId w:val="2"/>
        </w:numPr>
        <w:spacing w:after="90" w:line="280"/>
      </w:pPr>
      <w:r>
        <w:rPr>
          <w:rFonts w:ascii="Calibri" w:cs="Calibri" w:eastAsia="Calibri" w:hAnsi="Calibri"/>
          <w:color w:val="1E293B"/>
          <w:sz w:val="21"/>
          <w:szCs w:val="21"/>
        </w:rPr>
        <w:t xml:space="preserve">Audit your source material before you issue (Section A4). This is the single biggest driver of quote variance and it is the section buyers most often skip.</w:t>
      </w:r>
    </w:p>
    <w:p>
      <w:pPr>
        <w:pStyle w:val="ListParagraph"/>
        <w:numPr>
          <w:ilvl w:val="0"/>
          <w:numId w:val="2"/>
        </w:numPr>
        <w:spacing w:after="90" w:line="280"/>
      </w:pPr>
      <w:r>
        <w:rPr>
          <w:rFonts w:ascii="Calibri" w:cs="Calibri" w:eastAsia="Calibri" w:hAnsi="Calibri"/>
          <w:color w:val="1E293B"/>
          <w:sz w:val="21"/>
          <w:szCs w:val="21"/>
        </w:rPr>
        <w:t xml:space="preserve">Set the weights in Part C before you finalise Part A. If accessibility carries 15 points, there must be enough in the RFP for a bidder to earn or lose 15 points on it.</w:t>
      </w:r>
    </w:p>
    <w:p>
      <w:pPr>
        <w:pStyle w:val="ListParagraph"/>
        <w:numPr>
          <w:ilvl w:val="0"/>
          <w:numId w:val="2"/>
        </w:numPr>
        <w:spacing w:after="90" w:line="280"/>
      </w:pPr>
      <w:r>
        <w:rPr>
          <w:rFonts w:ascii="Calibri" w:cs="Calibri" w:eastAsia="Calibri" w:hAnsi="Calibri"/>
          <w:color w:val="1E293B"/>
          <w:sz w:val="21"/>
          <w:szCs w:val="21"/>
        </w:rPr>
        <w:t xml:space="preserve">Publish the weights in the issued document. An unpublished rubric cannot be defended and teaches losing bidders nothing.</w:t>
      </w:r>
    </w:p>
    <w:p>
      <w:pPr>
        <w:pStyle w:val="ListParagraph"/>
        <w:numPr>
          <w:ilvl w:val="0"/>
          <w:numId w:val="2"/>
        </w:numPr>
        <w:spacing w:after="90" w:line="280"/>
      </w:pPr>
      <w:r>
        <w:rPr>
          <w:rFonts w:ascii="Calibri" w:cs="Calibri" w:eastAsia="Calibri" w:hAnsi="Calibri"/>
          <w:color w:val="1E293B"/>
          <w:sz w:val="21"/>
          <w:szCs w:val="21"/>
        </w:rPr>
        <w:t xml:space="preserve">Require cost in a separate file so technical scoring can be completed before any price is seen.</w:t>
      </w:r>
    </w:p>
    <w:p>
      <w:pPr>
        <w:pStyle w:val="ListParagraph"/>
        <w:numPr>
          <w:ilvl w:val="0"/>
          <w:numId w:val="2"/>
        </w:numPr>
        <w:spacing w:after="90" w:line="280"/>
      </w:pPr>
      <w:r>
        <w:rPr>
          <w:rFonts w:ascii="Calibri" w:cs="Calibri" w:eastAsia="Calibri" w:hAnsi="Calibri"/>
          <w:color w:val="1E293B"/>
          <w:sz w:val="21"/>
          <w:szCs w:val="21"/>
        </w:rPr>
        <w:t xml:space="preserve">Score independently, then calibrate as a panel, discussing only criteria where scores differ by two or more.</w:t>
      </w:r>
    </w:p>
    <w:p>
      <w:pPr>
        <w:pStyle w:val="ListParagraph"/>
        <w:numPr>
          <w:ilvl w:val="0"/>
          <w:numId w:val="2"/>
        </w:numPr>
        <w:spacing w:after="90" w:line="280"/>
      </w:pPr>
      <w:r>
        <w:rPr>
          <w:rFonts w:ascii="Calibri" w:cs="Calibri" w:eastAsia="Calibri" w:hAnsi="Calibri"/>
          <w:color w:val="1E293B"/>
          <w:sz w:val="21"/>
          <w:szCs w:val="21"/>
        </w:rPr>
        <w:t xml:space="preserve">Check that the clauses in Sections A10 and B actually survive into the signed contract. They are frequently negotiated out during redlines by people who were not in the evaluation.</w:t>
      </w:r>
    </w:p>
    <w:p>
      <w:pPr>
        <w:pBdr>
          <w:left w:val="single" w:color="D97757" w:sz="18" w:space="8"/>
        </w:pBdr>
        <w:shd w:fill="FFF7ED" w:val="clear"/>
        <w:spacing w:after="180" w:before="140" w:line="280"/>
      </w:pPr>
      <w:r>
        <w:rPr>
          <w:rFonts w:ascii="Calibri" w:cs="Calibri" w:eastAsia="Calibri" w:hAnsi="Calibri"/>
          <w:i/>
          <w:iCs/>
          <w:color w:val="431407"/>
          <w:sz w:val="20"/>
          <w:szCs w:val="20"/>
        </w:rPr>
        <w:t xml:space="preserve">Benchmarks worth knowing before you set weights: across five real eLearning content RFPs published 2024–2026 (ECMWF, University of Arizona, ISO, State Bar of California, AARFP), price carried between 10% and 30% of the award and never more, while instructional design and technical solution was the heaviest bucket in every one, ranging from 20% to 50%.</w:t>
      </w:r>
    </w:p>
    <w:p>
      <w:r>
        <w:br w:type="page"/>
      </w:r>
    </w:p>
    <w:p>
      <w:pPr>
        <w:pStyle w:val="Heading1"/>
        <w:spacing w:after="160" w:before="360"/>
      </w:pPr>
      <w:r>
        <w:rPr>
          <w:rFonts w:ascii="Calibri" w:cs="Calibri" w:eastAsia="Calibri" w:hAnsi="Calibri"/>
          <w:b/>
          <w:bCs/>
          <w:color w:val="0F172A"/>
          <w:sz w:val="30"/>
          <w:szCs w:val="30"/>
        </w:rPr>
        <w:t xml:space="preserve">Part A — Scope and requirements</w:t>
      </w:r>
    </w:p>
    <w:p>
      <w:pPr>
        <w:pStyle w:val="Heading2"/>
        <w:spacing w:after="120" w:before="260"/>
      </w:pPr>
      <w:r>
        <w:rPr>
          <w:rFonts w:ascii="Calibri" w:cs="Calibri" w:eastAsia="Calibri" w:hAnsi="Calibri"/>
          <w:b/>
          <w:bCs/>
          <w:color w:val="2563EB"/>
          <w:sz w:val="24"/>
          <w:szCs w:val="24"/>
        </w:rPr>
        <w:t xml:space="preserve">A1. Organisation and context</w:t>
      </w:r>
    </w:p>
    <w:p>
      <w:pPr>
        <w:spacing w:after="120" w:before="0" w:line="280"/>
      </w:pPr>
      <w:r>
        <w:rPr>
          <w:rFonts w:ascii="Calibri" w:cs="Calibri" w:eastAsia="Calibri" w:hAnsi="Calibri"/>
          <w:color w:val="1E293B"/>
          <w:sz w:val="21"/>
          <w:szCs w:val="21"/>
        </w:rPr>
        <w:t xml:space="preserve">Provide a short profile of the issuing organisation, the business unit sponsoring this work, learner population size and the reason this project exists now.</w:t>
      </w:r>
    </w:p>
    <w:p>
      <w:pPr>
        <w:shd w:fill="F1F5F9" w:val="clear"/>
        <w:spacing w:after="160" w:line="280"/>
      </w:pPr>
      <w:r>
        <w:rPr>
          <w:rFonts w:ascii="Calibri" w:cs="Calibri" w:eastAsia="Calibri" w:hAnsi="Calibri"/>
          <w:b/>
          <w:bCs/>
          <w:color w:val="0F172A"/>
          <w:sz w:val="21"/>
          <w:szCs w:val="21"/>
        </w:rPr>
        <w:t xml:space="preserve">Organisation profile:  </w:t>
      </w:r>
      <w:r>
        <w:rPr>
          <w:rFonts w:ascii="Calibri" w:cs="Calibri" w:eastAsia="Calibri" w:hAnsi="Calibri"/>
          <w:i/>
          <w:iCs/>
          <w:color w:val="64748B"/>
          <w:sz w:val="21"/>
          <w:szCs w:val="21"/>
        </w:rPr>
        <w:t xml:space="preserve">[ 3–5 sentences ]</w:t>
      </w:r>
    </w:p>
    <w:p>
      <w:pPr>
        <w:shd w:fill="F1F5F9" w:val="clear"/>
        <w:spacing w:after="160" w:line="280"/>
      </w:pPr>
      <w:r>
        <w:rPr>
          <w:rFonts w:ascii="Calibri" w:cs="Calibri" w:eastAsia="Calibri" w:hAnsi="Calibri"/>
          <w:b/>
          <w:bCs/>
          <w:color w:val="0F172A"/>
          <w:sz w:val="21"/>
          <w:szCs w:val="21"/>
        </w:rPr>
        <w:t xml:space="preserve">Sponsoring business unit and budget holder: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Why now — the trigger for this project:  </w:t>
      </w:r>
      <w:r>
        <w:rPr>
          <w:rFonts w:ascii="Calibri" w:cs="Calibri" w:eastAsia="Calibri" w:hAnsi="Calibri"/>
          <w:i/>
          <w:iCs/>
          <w:color w:val="64748B"/>
          <w:sz w:val="21"/>
          <w:szCs w:val="21"/>
        </w:rPr>
        <w:t xml:space="preserve">[ regulator finding, system migration, acquisition, previous vendor, new product ]</w:t>
      </w:r>
    </w:p>
    <w:p>
      <w:pPr>
        <w:shd w:fill="F1F5F9" w:val="clear"/>
        <w:spacing w:after="160" w:line="280"/>
      </w:pPr>
      <w:r>
        <w:rPr>
          <w:rFonts w:ascii="Calibri" w:cs="Calibri" w:eastAsia="Calibri" w:hAnsi="Calibri"/>
          <w:b/>
          <w:bCs/>
          <w:color w:val="0F172A"/>
          <w:sz w:val="21"/>
          <w:szCs w:val="21"/>
        </w:rPr>
        <w:t xml:space="preserve">What went wrong last time (if anything):  </w:t>
      </w:r>
      <w:r>
        <w:rPr>
          <w:rFonts w:ascii="Calibri" w:cs="Calibri" w:eastAsia="Calibri" w:hAnsi="Calibri"/>
          <w:i/>
          <w:iCs/>
          <w:color w:val="64748B"/>
          <w:sz w:val="21"/>
          <w:szCs w:val="21"/>
        </w:rPr>
        <w:t xml:space="preserve">[ be specific; this becomes a requirement rather than a repeat ]</w:t>
      </w:r>
    </w:p>
    <w:p>
      <w:pPr>
        <w:shd w:fill="F1F5F9" w:val="clear"/>
        <w:spacing w:after="160" w:line="280"/>
      </w:pPr>
      <w:r>
        <w:rPr>
          <w:rFonts w:ascii="Calibri" w:cs="Calibri" w:eastAsia="Calibri" w:hAnsi="Calibri"/>
          <w:b/>
          <w:bCs/>
          <w:color w:val="0F172A"/>
          <w:sz w:val="21"/>
          <w:szCs w:val="21"/>
        </w:rPr>
        <w:t xml:space="preserve">Decision makers and evaluation panel roles:  </w:t>
      </w:r>
      <w:r>
        <w:rPr>
          <w:rFonts w:ascii="Calibri" w:cs="Calibri" w:eastAsia="Calibri" w:hAnsi="Calibri"/>
          <w:i/>
          <w:iCs/>
          <w:color w:val="64748B"/>
          <w:sz w:val="21"/>
          <w:szCs w:val="21"/>
        </w:rPr>
        <w:t xml:space="preserve">[ ]</w:t>
      </w:r>
    </w:p>
    <w:p>
      <w:pPr>
        <w:pStyle w:val="Heading2"/>
        <w:spacing w:after="120" w:before="260"/>
      </w:pPr>
      <w:r>
        <w:rPr>
          <w:rFonts w:ascii="Calibri" w:cs="Calibri" w:eastAsia="Calibri" w:hAnsi="Calibri"/>
          <w:b/>
          <w:bCs/>
          <w:color w:val="2563EB"/>
          <w:sz w:val="24"/>
          <w:szCs w:val="24"/>
        </w:rPr>
        <w:t xml:space="preserve">A2. Business objective and success measures</w:t>
      </w:r>
    </w:p>
    <w:p>
      <w:pPr>
        <w:spacing w:after="120" w:before="0" w:line="280"/>
      </w:pPr>
      <w:r>
        <w:rPr>
          <w:rFonts w:ascii="Calibri" w:cs="Calibri" w:eastAsia="Calibri" w:hAnsi="Calibri"/>
          <w:color w:val="1E293B"/>
          <w:sz w:val="21"/>
          <w:szCs w:val="21"/>
        </w:rPr>
        <w:t xml:space="preserve">State the behaviour that should change, in which population, and the measure you will look at afterwards. Avoid "raise awareness".</w:t>
      </w:r>
    </w:p>
    <w:p>
      <w:pPr>
        <w:shd w:fill="F1F5F9" w:val="clear"/>
        <w:spacing w:after="160" w:line="280"/>
      </w:pPr>
      <w:r>
        <w:rPr>
          <w:rFonts w:ascii="Calibri" w:cs="Calibri" w:eastAsia="Calibri" w:hAnsi="Calibri"/>
          <w:b/>
          <w:bCs/>
          <w:color w:val="0F172A"/>
          <w:sz w:val="21"/>
          <w:szCs w:val="21"/>
        </w:rPr>
        <w:t xml:space="preserve">Behaviour or capability that must change: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Population and size: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How success will be measured, and when:  </w:t>
      </w:r>
      <w:r>
        <w:rPr>
          <w:rFonts w:ascii="Calibri" w:cs="Calibri" w:eastAsia="Calibri" w:hAnsi="Calibri"/>
          <w:i/>
          <w:iCs/>
          <w:color w:val="64748B"/>
          <w:sz w:val="21"/>
          <w:szCs w:val="21"/>
        </w:rPr>
        <w:t xml:space="preserve">[ e.g. assessment pass rate, error rate, audit finding, time-to-competence ]</w:t>
      </w:r>
    </w:p>
    <w:p>
      <w:pPr>
        <w:shd w:fill="F1F5F9" w:val="clear"/>
        <w:spacing w:after="160" w:line="280"/>
      </w:pPr>
      <w:r>
        <w:rPr>
          <w:rFonts w:ascii="Calibri" w:cs="Calibri" w:eastAsia="Calibri" w:hAnsi="Calibri"/>
          <w:b/>
          <w:bCs/>
          <w:color w:val="0F172A"/>
          <w:sz w:val="21"/>
          <w:szCs w:val="21"/>
        </w:rPr>
        <w:t xml:space="preserve">What we will consider a failure:  </w:t>
      </w:r>
      <w:r>
        <w:rPr>
          <w:rFonts w:ascii="Calibri" w:cs="Calibri" w:eastAsia="Calibri" w:hAnsi="Calibri"/>
          <w:i/>
          <w:iCs/>
          <w:color w:val="64748B"/>
          <w:sz w:val="21"/>
          <w:szCs w:val="21"/>
        </w:rPr>
        <w:t xml:space="preserve">[ ]</w:t>
      </w:r>
    </w:p>
    <w:p>
      <w:pPr>
        <w:pStyle w:val="Heading2"/>
        <w:spacing w:after="120" w:before="260"/>
      </w:pPr>
      <w:r>
        <w:rPr>
          <w:rFonts w:ascii="Calibri" w:cs="Calibri" w:eastAsia="Calibri" w:hAnsi="Calibri"/>
          <w:b/>
          <w:bCs/>
          <w:color w:val="2563EB"/>
          <w:sz w:val="24"/>
          <w:szCs w:val="24"/>
        </w:rPr>
        <w:t xml:space="preserve">A3. Audience, volume and constraints</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3182"/>
        <w:gridCol w:w="6178"/>
      </w:tblGrid>
      <w:tr>
        <w:trPr>
          <w:tblHeader/>
        </w:trPr>
        <w:tc>
          <w:tcPr>
            <w:tcW w:type="dxa" w:w="318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Item</w:t>
            </w:r>
          </w:p>
        </w:tc>
        <w:tc>
          <w:tcPr>
            <w:tcW w:type="dxa" w:w="617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Your answer</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Number of learners and roles</w:t>
            </w:r>
          </w:p>
        </w:tc>
        <w:tc>
          <w:tcPr>
            <w:tcW w:type="dxa" w:w="617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Countries and locations</w:t>
            </w:r>
          </w:p>
        </w:tc>
        <w:tc>
          <w:tcPr>
            <w:tcW w:type="dxa" w:w="617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Languages required at launch</w:t>
            </w:r>
          </w:p>
        </w:tc>
        <w:tc>
          <w:tcPr>
            <w:tcW w:type="dxa" w:w="617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Languages required within 18 months</w:t>
            </w:r>
          </w:p>
        </w:tc>
        <w:tc>
          <w:tcPr>
            <w:tcW w:type="dxa" w:w="617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list them now — retrofitting is expensive ]</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Devices (desktop / mobile / shared terminal / offline)</w:t>
            </w:r>
          </w:p>
        </w:tc>
        <w:tc>
          <w:tcPr>
            <w:tcW w:type="dxa" w:w="617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Bandwidth or network constraints</w:t>
            </w:r>
          </w:p>
        </w:tc>
        <w:tc>
          <w:tcPr>
            <w:tcW w:type="dxa" w:w="617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Total volume (finished minutes or modules)</w:t>
            </w:r>
          </w:p>
        </w:tc>
        <w:tc>
          <w:tcPr>
            <w:tcW w:type="dxa" w:w="617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state whether fixed or a ceiling ]</w:t>
            </w:r>
          </w:p>
        </w:tc>
      </w:tr>
      <w:tr>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Prior learning or prerequisites assumed</w:t>
            </w:r>
          </w:p>
        </w:tc>
        <w:tc>
          <w:tcPr>
            <w:tcW w:type="dxa" w:w="617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Union, works council or legal review requirements</w:t>
            </w:r>
          </w:p>
        </w:tc>
        <w:tc>
          <w:tcPr>
            <w:tcW w:type="dxa" w:w="617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bl>
    <w:p>
      <w:pPr>
        <w:pStyle w:val="Heading2"/>
        <w:spacing w:after="120" w:before="260"/>
      </w:pPr>
      <w:r>
        <w:rPr>
          <w:rFonts w:ascii="Calibri" w:cs="Calibri" w:eastAsia="Calibri" w:hAnsi="Calibri"/>
          <w:b/>
          <w:bCs/>
          <w:color w:val="2563EB"/>
          <w:sz w:val="24"/>
          <w:szCs w:val="24"/>
        </w:rPr>
        <w:t xml:space="preserve">A4. State of existing source material</w:t>
      </w:r>
    </w:p>
    <w:p>
      <w:pPr>
        <w:spacing w:after="120" w:before="0" w:line="280"/>
      </w:pPr>
      <w:r>
        <w:rPr>
          <w:rFonts w:ascii="Calibri" w:cs="Calibri" w:eastAsia="Calibri" w:hAnsi="Calibri"/>
          <w:color w:val="1E293B"/>
          <w:sz w:val="21"/>
          <w:szCs w:val="21"/>
        </w:rPr>
        <w:t xml:space="preserve">Complete this inventory honestly. A vendor quoting against "we have some slides" is guessing, and the guess becomes a change order.</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2434"/>
        <w:gridCol w:w="1310"/>
        <w:gridCol w:w="1404"/>
        <w:gridCol w:w="1591"/>
        <w:gridCol w:w="1498"/>
        <w:gridCol w:w="1123"/>
      </w:tblGrid>
      <w:tr>
        <w:trPr>
          <w:tblHeader/>
        </w:trPr>
        <w:tc>
          <w:tcPr>
            <w:tcW w:type="dxa" w:w="243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Asset</w:t>
            </w:r>
          </w:p>
        </w:tc>
        <w:tc>
          <w:tcPr>
            <w:tcW w:type="dxa" w:w="1310"/>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Format</w:t>
            </w:r>
          </w:p>
        </w:tc>
        <w:tc>
          <w:tcPr>
            <w:tcW w:type="dxa" w:w="140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Volume</w:t>
            </w:r>
          </w:p>
        </w:tc>
        <w:tc>
          <w:tcPr>
            <w:tcW w:type="dxa" w:w="1591"/>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Currency / status</w:t>
            </w:r>
          </w:p>
        </w:tc>
        <w:tc>
          <w:tcPr>
            <w:tcW w:type="dxa" w:w="149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Sign-off status</w:t>
            </w:r>
          </w:p>
        </w:tc>
        <w:tc>
          <w:tcPr>
            <w:tcW w:type="dxa" w:w="1123"/>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Language</w:t>
            </w:r>
          </w:p>
        </w:tc>
      </w:tr>
      <w:tr>
        <w:tc>
          <w:tcPr>
            <w:tcW w:type="dxa" w:w="2434"/>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 e.g. Policy deck ]</w:t>
            </w:r>
          </w:p>
        </w:tc>
        <w:tc>
          <w:tcPr>
            <w:tcW w:type="dxa" w:w="131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PPTX ]</w:t>
            </w:r>
          </w:p>
        </w:tc>
        <w:tc>
          <w:tcPr>
            <w:tcW w:type="dxa" w:w="140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[ 120 slides ]</w:t>
            </w:r>
          </w:p>
        </w:tc>
        <w:tc>
          <w:tcPr>
            <w:tcW w:type="dxa" w:w="1591"/>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updated 2024 ]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legal approved ]</w:t>
            </w:r>
          </w:p>
        </w:tc>
        <w:tc>
          <w:tcPr>
            <w:tcW w:type="dxa" w:w="112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EN ]</w:t>
            </w:r>
          </w:p>
        </w:tc>
      </w:tr>
      <w:tr>
        <w:tc>
          <w:tcPr>
            <w:tcW w:type="dxa" w:w="2434"/>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 ]</w:t>
            </w:r>
          </w:p>
        </w:tc>
        <w:tc>
          <w:tcPr>
            <w:tcW w:type="dxa" w:w="131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0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591"/>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12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434"/>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 ]</w:t>
            </w:r>
          </w:p>
        </w:tc>
        <w:tc>
          <w:tcPr>
            <w:tcW w:type="dxa" w:w="131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0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591"/>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12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434"/>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 ]</w:t>
            </w:r>
          </w:p>
        </w:tc>
        <w:tc>
          <w:tcPr>
            <w:tcW w:type="dxa" w:w="131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0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591"/>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12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bl>
    <w:p>
      <w:pPr>
        <w:shd w:fill="F1F5F9" w:val="clear"/>
        <w:spacing w:after="160" w:line="280"/>
      </w:pPr>
      <w:r>
        <w:rPr>
          <w:rFonts w:ascii="Calibri" w:cs="Calibri" w:eastAsia="Calibri" w:hAnsi="Calibri"/>
          <w:b/>
          <w:bCs/>
          <w:color w:val="0F172A"/>
          <w:sz w:val="21"/>
          <w:szCs w:val="21"/>
        </w:rPr>
        <w:t xml:space="preserve">Subject-matter experts available, and their realistic weekly availability: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Content that exists only in someone's head: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Brand guidelines, style guide and templates we will supply:  </w:t>
      </w:r>
      <w:r>
        <w:rPr>
          <w:rFonts w:ascii="Calibri" w:cs="Calibri" w:eastAsia="Calibri" w:hAnsi="Calibri"/>
          <w:i/>
          <w:iCs/>
          <w:color w:val="64748B"/>
          <w:sz w:val="21"/>
          <w:szCs w:val="21"/>
        </w:rPr>
        <w:t xml:space="preserve">[ ]</w:t>
      </w:r>
    </w:p>
    <w:p>
      <w:pPr>
        <w:pStyle w:val="Heading2"/>
        <w:spacing w:after="120" w:before="260"/>
      </w:pPr>
      <w:r>
        <w:rPr>
          <w:rFonts w:ascii="Calibri" w:cs="Calibri" w:eastAsia="Calibri" w:hAnsi="Calibri"/>
          <w:b/>
          <w:bCs/>
          <w:color w:val="2563EB"/>
          <w:sz w:val="24"/>
          <w:szCs w:val="24"/>
        </w:rPr>
        <w:t xml:space="preserve">A5. Scope of work — module breakdown</w:t>
      </w:r>
    </w:p>
    <w:p>
      <w:pPr>
        <w:spacing w:after="120" w:before="0" w:line="280"/>
      </w:pPr>
      <w:r>
        <w:rPr>
          <w:rFonts w:ascii="Calibri" w:cs="Calibri" w:eastAsia="Calibri" w:hAnsi="Calibri"/>
          <w:color w:val="1E293B"/>
          <w:sz w:val="21"/>
          <w:szCs w:val="21"/>
        </w:rPr>
        <w:t xml:space="preserve">List every module. Bidders should price each line separately so you can compare like for like and de-scope without renegotiating.</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468"/>
        <w:gridCol w:w="2059"/>
        <w:gridCol w:w="1217"/>
        <w:gridCol w:w="2153"/>
        <w:gridCol w:w="1778"/>
        <w:gridCol w:w="842"/>
        <w:gridCol w:w="842"/>
      </w:tblGrid>
      <w:tr>
        <w:trPr>
          <w:tblHeader/>
        </w:trPr>
        <w:tc>
          <w:tcPr>
            <w:tcW w:type="dxa" w:w="46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w:t>
            </w:r>
          </w:p>
        </w:tc>
        <w:tc>
          <w:tcPr>
            <w:tcW w:type="dxa" w:w="2059"/>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Working title</w:t>
            </w:r>
          </w:p>
        </w:tc>
        <w:tc>
          <w:tcPr>
            <w:tcW w:type="dxa" w:w="1217"/>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Target seat time</w:t>
            </w:r>
          </w:p>
        </w:tc>
        <w:tc>
          <w:tcPr>
            <w:tcW w:type="dxa" w:w="2153"/>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Type</w:t>
            </w:r>
          </w:p>
        </w:tc>
        <w:tc>
          <w:tcPr>
            <w:tcW w:type="dxa" w:w="177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Interaction level</w:t>
            </w:r>
          </w:p>
        </w:tc>
        <w:tc>
          <w:tcPr>
            <w:tcW w:type="dxa" w:w="84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Video?</w:t>
            </w:r>
          </w:p>
        </w:tc>
        <w:tc>
          <w:tcPr>
            <w:tcW w:type="dxa" w:w="84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Assessment?</w:t>
            </w:r>
          </w:p>
        </w:tc>
      </w:tr>
      <w:tr>
        <w:tc>
          <w:tcPr>
            <w:tcW w:type="dxa" w:w="468"/>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1</w:t>
            </w:r>
          </w:p>
        </w:tc>
        <w:tc>
          <w:tcPr>
            <w:tcW w:type="dxa" w:w="2059"/>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17"/>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[ 20 min ]</w:t>
            </w:r>
          </w:p>
        </w:tc>
        <w:tc>
          <w:tcPr>
            <w:tcW w:type="dxa" w:w="215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New build / Full redevelopment / 50% refresh / Strategic update ]</w:t>
            </w:r>
          </w:p>
        </w:tc>
        <w:tc>
          <w:tcPr>
            <w:tcW w:type="dxa" w:w="177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L1 basic / L2 interactive / L3 simulation ]</w:t>
            </w:r>
          </w:p>
        </w:tc>
        <w:tc>
          <w:tcPr>
            <w:tcW w:type="dxa" w:w="84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Y/N ]</w:t>
            </w:r>
          </w:p>
        </w:tc>
        <w:tc>
          <w:tcPr>
            <w:tcW w:type="dxa" w:w="84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Y/N ]</w:t>
            </w:r>
          </w:p>
        </w:tc>
      </w:tr>
      <w:tr>
        <w:tc>
          <w:tcPr>
            <w:tcW w:type="dxa" w:w="468"/>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2</w:t>
            </w:r>
          </w:p>
        </w:tc>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17"/>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215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77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84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84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468"/>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3</w:t>
            </w:r>
          </w:p>
        </w:tc>
        <w:tc>
          <w:tcPr>
            <w:tcW w:type="dxa" w:w="2059"/>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17"/>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215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77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84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84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468"/>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4</w:t>
            </w:r>
          </w:p>
        </w:tc>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17"/>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215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77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84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84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bl>
    <w:p>
      <w:pPr>
        <w:pBdr>
          <w:left w:val="single" w:color="D97757" w:sz="18" w:space="8"/>
        </w:pBdr>
        <w:shd w:fill="FFF7ED" w:val="clear"/>
        <w:spacing w:after="180" w:before="140" w:line="280"/>
      </w:pPr>
      <w:r>
        <w:rPr>
          <w:rFonts w:ascii="Calibri" w:cs="Calibri" w:eastAsia="Calibri" w:hAnsi="Calibri"/>
          <w:i/>
          <w:iCs/>
          <w:color w:val="431407"/>
          <w:sz w:val="20"/>
          <w:szCs w:val="20"/>
        </w:rPr>
        <w:t xml:space="preserve">Pricing new build, full redevelopment, a 50% refresh and strategic updates as four distinct products removes most of the ambiguity from maintenance pricing later. This structure is taken from the University of Arizona RFP #L312502 (June 2025).</w:t>
      </w:r>
    </w:p>
    <w:p>
      <w:pPr>
        <w:shd w:fill="F1F5F9" w:val="clear"/>
        <w:spacing w:after="160" w:line="280"/>
      </w:pPr>
      <w:r>
        <w:rPr>
          <w:rFonts w:ascii="Calibri" w:cs="Calibri" w:eastAsia="Calibri" w:hAnsi="Calibri"/>
          <w:b/>
          <w:bCs/>
          <w:color w:val="0F172A"/>
          <w:sz w:val="21"/>
          <w:szCs w:val="21"/>
        </w:rPr>
        <w:t xml:space="preserve">Deliverables per module:  </w:t>
      </w:r>
      <w:r>
        <w:rPr>
          <w:rFonts w:ascii="Calibri" w:cs="Calibri" w:eastAsia="Calibri" w:hAnsi="Calibri"/>
          <w:i/>
          <w:iCs/>
          <w:color w:val="64748B"/>
          <w:sz w:val="21"/>
          <w:szCs w:val="21"/>
        </w:rPr>
        <w:t xml:space="preserve">[ e.g. storyboard, published package, source files, transcripts, captions, facilitator guide, job aid ]</w:t>
      </w:r>
    </w:p>
    <w:p>
      <w:pPr>
        <w:shd w:fill="F1F5F9" w:val="clear"/>
        <w:spacing w:after="160" w:line="280"/>
      </w:pPr>
      <w:r>
        <w:rPr>
          <w:rFonts w:ascii="Calibri" w:cs="Calibri" w:eastAsia="Calibri" w:hAnsi="Calibri"/>
          <w:b/>
          <w:bCs/>
          <w:color w:val="0F172A"/>
          <w:sz w:val="21"/>
          <w:szCs w:val="21"/>
        </w:rPr>
        <w:t xml:space="preserve">Out of scope:  </w:t>
      </w:r>
      <w:r>
        <w:rPr>
          <w:rFonts w:ascii="Calibri" w:cs="Calibri" w:eastAsia="Calibri" w:hAnsi="Calibri"/>
          <w:i/>
          <w:iCs/>
          <w:color w:val="64748B"/>
          <w:sz w:val="21"/>
          <w:szCs w:val="21"/>
        </w:rPr>
        <w:t xml:space="preserve">[ state explicitly what you are not buying ]</w:t>
      </w:r>
    </w:p>
    <w:p>
      <w:r>
        <w:br w:type="page"/>
      </w:r>
    </w:p>
    <w:p>
      <w:pPr>
        <w:pStyle w:val="Heading2"/>
        <w:spacing w:after="120" w:before="260"/>
      </w:pPr>
      <w:r>
        <w:rPr>
          <w:rFonts w:ascii="Calibri" w:cs="Calibri" w:eastAsia="Calibri" w:hAnsi="Calibri"/>
          <w:b/>
          <w:bCs/>
          <w:color w:val="2563EB"/>
          <w:sz w:val="24"/>
          <w:szCs w:val="24"/>
        </w:rPr>
        <w:t xml:space="preserve">A6. Technical requirements and delivery format</w:t>
      </w:r>
    </w:p>
    <w:p>
      <w:pPr>
        <w:spacing w:after="120" w:before="0" w:line="280"/>
      </w:pPr>
      <w:r>
        <w:rPr>
          <w:rFonts w:ascii="Calibri" w:cs="Calibri" w:eastAsia="Calibri" w:hAnsi="Calibri"/>
          <w:color w:val="1E293B"/>
          <w:sz w:val="21"/>
          <w:szCs w:val="21"/>
        </w:rPr>
        <w:t xml:space="preserve">"SCORM-compliant" is not a requirement. Complete every row. Bidders must confirm each line and flag any they cannot meet.</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2059"/>
        <w:gridCol w:w="3182"/>
        <w:gridCol w:w="4118"/>
      </w:tblGrid>
      <w:tr>
        <w:trPr>
          <w:tblHeader/>
        </w:trPr>
        <w:tc>
          <w:tcPr>
            <w:tcW w:type="dxa" w:w="2059"/>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Requirement</w:t>
            </w:r>
          </w:p>
        </w:tc>
        <w:tc>
          <w:tcPr>
            <w:tcW w:type="dxa" w:w="318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Your specification</w:t>
            </w:r>
          </w:p>
        </w:tc>
        <w:tc>
          <w:tcPr>
            <w:tcW w:type="dxa" w:w="411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Why this row exists</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Packaging standard and edition</w:t>
            </w:r>
          </w:p>
        </w:tc>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e.g. SCORM 1.2 primary; SCORM 2004 3rd Edition alternate; cmi5 optional ]</w:t>
            </w:r>
          </w:p>
        </w:tc>
        <w:tc>
          <w:tcPr>
            <w:tcW w:type="dxa" w:w="411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SCORM 2004 has four editions and LMS support is fragmented: Docebo supports 3rd Edition only, Cornerstone's connector accepts 3rd Edition, SAP SuccessFactors documentation lists 2nd and 4th, Workday lists 2nd, 3rd and 4th.</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AICC required?</w:t>
            </w:r>
          </w:p>
        </w:tc>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Y / N — legacy estates only ]</w:t>
            </w:r>
          </w:p>
        </w:tc>
        <w:tc>
          <w:tcPr>
            <w:tcW w:type="dxa" w:w="411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The AICC dissolved in 2014. Several enterprise LMSs still accept it, but no body maintains it. Never make it the primary target.</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xAPI required?</w:t>
            </w:r>
          </w:p>
        </w:tc>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Y / N — if yes: xAPI 1.0.3 minimum; state 2.0 (IEEE 9274.1.1) readiness ]</w:t>
            </w:r>
          </w:p>
        </w:tc>
        <w:tc>
          <w:tcPr>
            <w:tcW w:type="dxa" w:w="411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The standard is xAPI 2.0 (IEEE 9274.1.1-2023, also ISO/IEC/IEEE 39274-1-1:2025). The market still runs 1.0.3.</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LRS ownership if xAPI is in scope</w:t>
            </w:r>
          </w:p>
        </w:tc>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who supplies it, where statements land, retention period, PII owner ]</w:t>
            </w:r>
          </w:p>
        </w:tc>
        <w:tc>
          <w:tcPr>
            <w:tcW w:type="dxa" w:w="411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The most common cost surprise in this category.</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cmi5 required?</w:t>
            </w:r>
          </w:p>
        </w:tc>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Y / N ]</w:t>
            </w:r>
          </w:p>
        </w:tc>
        <w:tc>
          <w:tcPr>
            <w:tcW w:type="dxa" w:w="411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cmi5 requires an LRS and is not officially supported by Workday, Cornerstone, SAP SuccessFactors or Docebo. Mandating it into those estates means middleware — budget it or drop it.</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Target LMS, version and tenant</w:t>
            </w:r>
          </w:p>
        </w:tc>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411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Almost every packaging defect is LMS-specific. Workday will not accept SCORM or AICC content in a standalone lesson.</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Test import into our tenant before design sign-off</w:t>
            </w:r>
          </w:p>
        </w:tc>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mandatory — state the gate date ]</w:t>
            </w:r>
          </w:p>
        </w:tc>
        <w:tc>
          <w:tcPr>
            <w:tcW w:type="dxa" w:w="411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Testing in SCORM Cloud is not testing in your tenant. This is the cheapest risk reduction available.</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suspend_data budget and file count per package</w:t>
            </w:r>
          </w:p>
        </w:tc>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vendor to state ]</w:t>
            </w:r>
          </w:p>
        </w:tc>
        <w:tc>
          <w:tcPr>
            <w:tcW w:type="dxa" w:w="411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SCORM 1.2 allows 4,096 characters; SCORM 2004 3rd Edition allows 64,000. Branched courses with heavy bookmarking fail silently on 1.2. Docebo recommends no more than ~15,000 files per package.</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Completion, success and score logic</w:t>
            </w:r>
          </w:p>
        </w:tc>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define "complete", define "passed", state mastery threshold ]</w:t>
            </w:r>
          </w:p>
        </w:tc>
        <w:tc>
          <w:tcPr>
            <w:tcW w:type="dxa" w:w="411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SCORM 1.2 conflates completion and success. Require it demonstrated, not described.</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Self-contained, HTTPS-only package</w:t>
            </w:r>
          </w:p>
        </w:tc>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mandatory; vendor to declare all external dependencies ]</w:t>
            </w:r>
          </w:p>
        </w:tc>
        <w:tc>
          <w:tcPr>
            <w:tcW w:type="dxa" w:w="411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Any HTTP-referenced asset is blocked as mixed content. External fonts, CDNs and analytics break offline playback and create an unplanned privacy review.</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Browser and device matrix</w:t>
            </w:r>
          </w:p>
        </w:tc>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e.g. current plus previous three major versions of Chrome, Edge, Safari, Firefox, desktop and mobile ]</w:t>
            </w:r>
          </w:p>
        </w:tc>
        <w:tc>
          <w:tcPr>
            <w:tcW w:type="dxa" w:w="411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Wording adapted from the State Bar of California RFP (October 2024).</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Authoring tool</w:t>
            </w:r>
          </w:p>
        </w:tc>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specify or state "vendor's choice, subject to source-file clause" ]</w:t>
            </w:r>
          </w:p>
        </w:tc>
        <w:tc>
          <w:tcPr>
            <w:tcW w:type="dxa" w:w="411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If you specify, you constrain the vendor pool. If you do not, Section A10 becomes more important, not less.</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File naming, versioning and packaging conventions</w:t>
            </w:r>
          </w:p>
        </w:tc>
        <w:tc>
          <w:tcPr>
            <w:tcW w:type="dxa" w:w="318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411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Cheap to specify, expensive to retrofit across 40 modules.</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Analytics and reporting required</w:t>
            </w:r>
          </w:p>
        </w:tc>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e.g. completion status, time in module, per-question pass rates ]</w:t>
            </w:r>
          </w:p>
        </w:tc>
        <w:tc>
          <w:tcPr>
            <w:tcW w:type="dxa" w:w="411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Specify at RFP stage; adding tracking after build means republishing every package.</w:t>
            </w:r>
          </w:p>
        </w:tc>
      </w:tr>
    </w:tbl>
    <w:p>
      <w:r>
        <w:br w:type="page"/>
      </w:r>
    </w:p>
    <w:p>
      <w:pPr>
        <w:pStyle w:val="Heading2"/>
        <w:spacing w:after="120" w:before="260"/>
      </w:pPr>
      <w:r>
        <w:rPr>
          <w:rFonts w:ascii="Calibri" w:cs="Calibri" w:eastAsia="Calibri" w:hAnsi="Calibri"/>
          <w:b/>
          <w:bCs/>
          <w:color w:val="2563EB"/>
          <w:sz w:val="24"/>
          <w:szCs w:val="24"/>
        </w:rPr>
        <w:t xml:space="preserve">A7. Accessibility</w:t>
      </w:r>
    </w:p>
    <w:p>
      <w:pPr>
        <w:spacing w:after="120" w:before="0" w:line="280"/>
      </w:pPr>
      <w:r>
        <w:rPr>
          <w:rFonts w:ascii="Calibri" w:cs="Calibri" w:eastAsia="Calibri" w:hAnsi="Calibri"/>
          <w:color w:val="1E293B"/>
          <w:sz w:val="21"/>
          <w:szCs w:val="21"/>
        </w:rPr>
        <w:t xml:space="preserve">State a version, a level and a date. Then state the evidence you will accept.</w:t>
      </w:r>
    </w:p>
    <w:p>
      <w:pPr>
        <w:shd w:fill="F1F5F9" w:val="clear"/>
        <w:spacing w:after="160" w:line="280"/>
      </w:pPr>
      <w:r>
        <w:rPr>
          <w:rFonts w:ascii="Calibri" w:cs="Calibri" w:eastAsia="Calibri" w:hAnsi="Calibri"/>
          <w:b/>
          <w:bCs/>
          <w:color w:val="0F172A"/>
          <w:sz w:val="21"/>
          <w:szCs w:val="21"/>
        </w:rPr>
        <w:t xml:space="preserve">Conformance target:  </w:t>
      </w:r>
      <w:r>
        <w:rPr>
          <w:rFonts w:ascii="Calibri" w:cs="Calibri" w:eastAsia="Calibri" w:hAnsi="Calibri"/>
          <w:i/>
          <w:iCs/>
          <w:color w:val="64748B"/>
          <w:sz w:val="21"/>
          <w:szCs w:val="21"/>
        </w:rPr>
        <w:t xml:space="preserve">[ recommended: WCAG 2.2 Level AA for new builds ]</w:t>
      </w:r>
    </w:p>
    <w:p>
      <w:pPr>
        <w:shd w:fill="F1F5F9" w:val="clear"/>
        <w:spacing w:after="160" w:line="280"/>
      </w:pPr>
      <w:r>
        <w:rPr>
          <w:rFonts w:ascii="Calibri" w:cs="Calibri" w:eastAsia="Calibri" w:hAnsi="Calibri"/>
          <w:b/>
          <w:bCs/>
          <w:color w:val="0F172A"/>
          <w:sz w:val="21"/>
          <w:szCs w:val="21"/>
        </w:rPr>
        <w:t xml:space="preserve">Legal standard that binds us:  </w:t>
      </w:r>
      <w:r>
        <w:rPr>
          <w:rFonts w:ascii="Calibri" w:cs="Calibri" w:eastAsia="Calibri" w:hAnsi="Calibri"/>
          <w:i/>
          <w:iCs/>
          <w:color w:val="64748B"/>
          <w:sz w:val="21"/>
          <w:szCs w:val="21"/>
        </w:rPr>
        <w:t xml:space="preserve">[ Section 508 / ADA Title II / HHS Section 504 / EAA / other ]</w:t>
      </w:r>
    </w:p>
    <w:p>
      <w:pPr>
        <w:spacing w:after="120" w:before="120" w:line="280"/>
      </w:pPr>
      <w:r>
        <w:rPr>
          <w:rFonts w:ascii="Calibri" w:cs="Calibri" w:eastAsia="Calibri" w:hAnsi="Calibri"/>
          <w:b/>
          <w:bCs/>
          <w:color w:val="1E293B"/>
          <w:sz w:val="21"/>
          <w:szCs w:val="21"/>
        </w:rPr>
        <w:t xml:space="preserve">Reference — the legal picture as at August 2026 (verify against your own counsel):</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2059"/>
        <w:gridCol w:w="2434"/>
        <w:gridCol w:w="4867"/>
      </w:tblGrid>
      <w:tr>
        <w:trPr>
          <w:tblHeader/>
        </w:trPr>
        <w:tc>
          <w:tcPr>
            <w:tcW w:type="dxa" w:w="2059"/>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Regime</w:t>
            </w:r>
          </w:p>
        </w:tc>
        <w:tc>
          <w:tcPr>
            <w:tcW w:type="dxa" w:w="243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Standard</w:t>
            </w:r>
          </w:p>
        </w:tc>
        <w:tc>
          <w:tcPr>
            <w:tcW w:type="dxa" w:w="4867"/>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Key dates</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US federal — Section 508</w:t>
            </w:r>
          </w:p>
        </w:tc>
        <w:tc>
          <w:tcPr>
            <w:tcW w:type="dxa" w:w="243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WCAG 2.0 Level A and AA (2017 ICT Refresh)</w:t>
            </w:r>
          </w:p>
        </w:tc>
        <w:tc>
          <w:tcPr>
            <w:tcW w:type="dxa" w:w="4867"/>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In force since 18 January 2018. No newer rulemaking listed on Section508.gov as of July 2026.</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US state and local — ADA Title II</w:t>
            </w:r>
          </w:p>
        </w:tc>
        <w:tc>
          <w:tcPr>
            <w:tcW w:type="dxa" w:w="243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WCAG 2.1 Level AA</w:t>
            </w:r>
          </w:p>
        </w:tc>
        <w:tc>
          <w:tcPr>
            <w:tcW w:type="dxa" w:w="4867"/>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Extended by DOJ interim final rule of 20 April 2026: 26 April 2027 (population 50,000+) and 26 April 2028 (smaller entities and special districts).</w:t>
            </w:r>
          </w:p>
        </w:tc>
      </w:tr>
      <w:tr>
        <w:tc>
          <w:tcPr>
            <w:tcW w:type="dxa" w:w="2059"/>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US healthcare and federal-assistance recipients — HHS Section 504</w:t>
            </w:r>
          </w:p>
        </w:tc>
        <w:tc>
          <w:tcPr>
            <w:tcW w:type="dxa" w:w="243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WCAG 2.1 Level AA</w:t>
            </w:r>
          </w:p>
        </w:tc>
        <w:tc>
          <w:tcPr>
            <w:tcW w:type="dxa" w:w="4867"/>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Extended 7 May 2026: 11 May 2027 (15+ employees), 10 May 2028 (fewer than 15).</w:t>
            </w:r>
          </w:p>
        </w:tc>
      </w:tr>
      <w:tr>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EU — European Accessibility Act</w:t>
            </w:r>
          </w:p>
        </w:tc>
        <w:tc>
          <w:tcPr>
            <w:tcW w:type="dxa" w:w="243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EN 301 549 V3.2.1, which references WCAG 2.1</w:t>
            </w:r>
          </w:p>
        </w:tc>
        <w:tc>
          <w:tcPr>
            <w:tcW w:type="dxa" w:w="4867"/>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Applying since 28 June 2025. V4.1.0 (moving to WCAG 2.2) was still a final draft as of June 2026 and has not been cited in the Official Journal. Workplace training is not itself a listed EAA service — scope usually arises via e-commerce or e-books and dedicated software.</w:t>
            </w:r>
          </w:p>
        </w:tc>
      </w:tr>
    </w:tbl>
    <w:p>
      <w:pPr>
        <w:spacing w:after="120" w:before="160" w:line="280"/>
      </w:pPr>
      <w:r>
        <w:rPr>
          <w:rFonts w:ascii="Calibri" w:cs="Calibri" w:eastAsia="Calibri" w:hAnsi="Calibri"/>
          <w:b/>
          <w:bCs/>
          <w:color w:val="1E293B"/>
          <w:sz w:val="21"/>
          <w:szCs w:val="21"/>
        </w:rPr>
        <w:t xml:space="preserve">Required evidence — bidders must supply all three:</w:t>
      </w:r>
    </w:p>
    <w:p>
      <w:pPr>
        <w:pStyle w:val="ListParagraph"/>
        <w:numPr>
          <w:ilvl w:val="0"/>
          <w:numId w:val="3"/>
        </w:numPr>
        <w:spacing w:after="70" w:line="280"/>
      </w:pPr>
      <w:r>
        <w:rPr>
          <w:rFonts w:ascii="Calibri" w:cs="Calibri" w:eastAsia="Calibri" w:hAnsi="Calibri"/>
          <w:color w:val="1E293B"/>
          <w:sz w:val="21"/>
          <w:szCs w:val="21"/>
        </w:rPr>
        <w:t xml:space="preserve">A completed Accessibility Conformance Report on VPAT 2.5Rev (April 2025), dated within the last twelve months, covering both the content and any player or wrapper. State who completed it.</w:t>
      </w:r>
    </w:p>
    <w:p>
      <w:pPr>
        <w:pStyle w:val="ListParagraph"/>
        <w:numPr>
          <w:ilvl w:val="0"/>
          <w:numId w:val="3"/>
        </w:numPr>
        <w:spacing w:after="70" w:line="280"/>
      </w:pPr>
      <w:r>
        <w:rPr>
          <w:rFonts w:ascii="Calibri" w:cs="Calibri" w:eastAsia="Calibri" w:hAnsi="Calibri"/>
          <w:color w:val="1E293B"/>
          <w:sz w:val="21"/>
          <w:szCs w:val="21"/>
        </w:rPr>
        <w:t xml:space="preserve">An independent third-party audit of one representative module containing each interaction pattern in scope, with the auditor named and the remediation window contractual.</w:t>
      </w:r>
    </w:p>
    <w:p>
      <w:pPr>
        <w:pStyle w:val="ListParagraph"/>
        <w:numPr>
          <w:ilvl w:val="0"/>
          <w:numId w:val="3"/>
        </w:numPr>
        <w:spacing w:after="70" w:line="280"/>
      </w:pPr>
      <w:r>
        <w:rPr>
          <w:rFonts w:ascii="Calibri" w:cs="Calibri" w:eastAsia="Calibri" w:hAnsi="Calibri"/>
          <w:color w:val="1E293B"/>
          <w:sz w:val="21"/>
          <w:szCs w:val="21"/>
        </w:rPr>
        <w:t xml:space="preserve">An explicit assistive-technology test matrix: screen reader, browser and operating system combinations, keyboard-only operation, and 200% and 400% zoom.</w:t>
      </w:r>
    </w:p>
    <w:p>
      <w:pPr>
        <w:spacing w:after="120" w:before="160" w:line="280"/>
      </w:pPr>
      <w:r>
        <w:rPr>
          <w:rFonts w:ascii="Calibri" w:cs="Calibri" w:eastAsia="Calibri" w:hAnsi="Calibri"/>
          <w:b/>
          <w:bCs/>
          <w:color w:val="1E293B"/>
          <w:sz w:val="21"/>
          <w:szCs w:val="21"/>
        </w:rPr>
        <w:t xml:space="preserve">Criteria we will test specifically (name them so they cannot be treated as out of scope):</w:t>
      </w:r>
    </w:p>
    <w:p>
      <w:pPr>
        <w:pStyle w:val="ListParagraph"/>
        <w:numPr>
          <w:ilvl w:val="0"/>
          <w:numId w:val="3"/>
        </w:numPr>
        <w:spacing w:after="70" w:line="280"/>
      </w:pPr>
      <w:r>
        <w:rPr>
          <w:rFonts w:ascii="Calibri" w:cs="Calibri" w:eastAsia="Calibri" w:hAnsi="Calibri"/>
          <w:color w:val="1E293B"/>
          <w:sz w:val="21"/>
          <w:szCs w:val="21"/>
        </w:rPr>
        <w:t xml:space="preserve">2.5.7 Dragging Movements (AA, new in WCAG 2.2) — every drag-and-drop interaction must have a single-pointer alternative.</w:t>
      </w:r>
    </w:p>
    <w:p>
      <w:pPr>
        <w:pStyle w:val="ListParagraph"/>
        <w:numPr>
          <w:ilvl w:val="0"/>
          <w:numId w:val="3"/>
        </w:numPr>
        <w:spacing w:after="70" w:line="280"/>
      </w:pPr>
      <w:r>
        <w:rPr>
          <w:rFonts w:ascii="Calibri" w:cs="Calibri" w:eastAsia="Calibri" w:hAnsi="Calibri"/>
          <w:color w:val="1E293B"/>
          <w:sz w:val="21"/>
          <w:szCs w:val="21"/>
        </w:rPr>
        <w:t xml:space="preserve">2.5.8 Target Size, Minimum (AA, new in 2.2) — hotspots and drag targets at least 24 × 24 CSS pixels.</w:t>
      </w:r>
    </w:p>
    <w:p>
      <w:pPr>
        <w:pStyle w:val="ListParagraph"/>
        <w:numPr>
          <w:ilvl w:val="0"/>
          <w:numId w:val="3"/>
        </w:numPr>
        <w:spacing w:after="70" w:line="280"/>
      </w:pPr>
      <w:r>
        <w:rPr>
          <w:rFonts w:ascii="Calibri" w:cs="Calibri" w:eastAsia="Calibri" w:hAnsi="Calibri"/>
          <w:color w:val="1E293B"/>
          <w:sz w:val="21"/>
          <w:szCs w:val="21"/>
        </w:rPr>
        <w:t xml:space="preserve">2.4.11 Focus Not Obscured, Minimum (AA, new in 2.2).</w:t>
      </w:r>
    </w:p>
    <w:p>
      <w:pPr>
        <w:pStyle w:val="ListParagraph"/>
        <w:numPr>
          <w:ilvl w:val="0"/>
          <w:numId w:val="3"/>
        </w:numPr>
        <w:spacing w:after="70" w:line="280"/>
      </w:pPr>
      <w:r>
        <w:rPr>
          <w:rFonts w:ascii="Calibri" w:cs="Calibri" w:eastAsia="Calibri" w:hAnsi="Calibri"/>
          <w:color w:val="1E293B"/>
          <w:sz w:val="21"/>
          <w:szCs w:val="21"/>
        </w:rPr>
        <w:t xml:space="preserve">3.3.7 Redundant Entry and 3.2.6 Consistent Help (A, new in 2.2).</w:t>
      </w:r>
    </w:p>
    <w:p>
      <w:pPr>
        <w:pStyle w:val="ListParagraph"/>
        <w:numPr>
          <w:ilvl w:val="0"/>
          <w:numId w:val="3"/>
        </w:numPr>
        <w:spacing w:after="70" w:line="280"/>
      </w:pPr>
      <w:r>
        <w:rPr>
          <w:rFonts w:ascii="Calibri" w:cs="Calibri" w:eastAsia="Calibri" w:hAnsi="Calibri"/>
          <w:color w:val="1E293B"/>
          <w:sz w:val="21"/>
          <w:szCs w:val="21"/>
        </w:rPr>
        <w:t xml:space="preserve">1.2.2 Captions and 1.2.5 Audio Description for all prerecorded media, plus transcripts as a separate deliverable.</w:t>
      </w:r>
    </w:p>
    <w:p>
      <w:pPr>
        <w:pStyle w:val="Heading2"/>
        <w:spacing w:after="120" w:before="260"/>
      </w:pPr>
      <w:r>
        <w:rPr>
          <w:rFonts w:ascii="Calibri" w:cs="Calibri" w:eastAsia="Calibri" w:hAnsi="Calibri"/>
          <w:b/>
          <w:bCs/>
          <w:color w:val="2563EB"/>
          <w:sz w:val="24"/>
          <w:szCs w:val="24"/>
        </w:rPr>
        <w:t xml:space="preserve">A8. Languages and localisation</w:t>
      </w:r>
    </w:p>
    <w:p>
      <w:pPr>
        <w:shd w:fill="F1F5F9" w:val="clear"/>
        <w:spacing w:after="160" w:line="280"/>
      </w:pPr>
      <w:r>
        <w:rPr>
          <w:rFonts w:ascii="Calibri" w:cs="Calibri" w:eastAsia="Calibri" w:hAnsi="Calibri"/>
          <w:b/>
          <w:bCs/>
          <w:color w:val="0F172A"/>
          <w:sz w:val="21"/>
          <w:szCs w:val="21"/>
        </w:rPr>
        <w:t xml:space="preserve">Languages at launch: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Languages within 18 months: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Locales requiring right-to-left layout:  </w:t>
      </w:r>
      <w:r>
        <w:rPr>
          <w:rFonts w:ascii="Calibri" w:cs="Calibri" w:eastAsia="Calibri" w:hAnsi="Calibri"/>
          <w:i/>
          <w:iCs/>
          <w:color w:val="64748B"/>
          <w:sz w:val="21"/>
          <w:szCs w:val="21"/>
        </w:rPr>
        <w:t xml:space="preserve">[ ]</w:t>
      </w:r>
    </w:p>
    <w:p>
      <w:pPr>
        <w:spacing w:after="120" w:before="120" w:line="280"/>
      </w:pPr>
      <w:r>
        <w:rPr>
          <w:rFonts w:ascii="Calibri" w:cs="Calibri" w:eastAsia="Calibri" w:hAnsi="Calibri"/>
          <w:b/>
          <w:bCs/>
          <w:color w:val="1E293B"/>
          <w:sz w:val="21"/>
          <w:szCs w:val="21"/>
        </w:rPr>
        <w:t xml:space="preserve">Bidders must confirm the following:</w:t>
      </w:r>
    </w:p>
    <w:p>
      <w:pPr>
        <w:pStyle w:val="ListParagraph"/>
        <w:numPr>
          <w:ilvl w:val="0"/>
          <w:numId w:val="3"/>
        </w:numPr>
        <w:spacing w:after="70" w:line="280"/>
      </w:pPr>
      <w:r>
        <w:rPr>
          <w:rFonts w:ascii="Calibri" w:cs="Calibri" w:eastAsia="Calibri" w:hAnsi="Calibri"/>
          <w:color w:val="1E293B"/>
          <w:sz w:val="21"/>
          <w:szCs w:val="21"/>
        </w:rPr>
        <w:t xml:space="preserve">XLIFF export and import round-trip, stating the XLIFF version their tooling emits, with the translation memory delivered to us at project end.</w:t>
      </w:r>
    </w:p>
    <w:p>
      <w:pPr>
        <w:pStyle w:val="ListParagraph"/>
        <w:numPr>
          <w:ilvl w:val="0"/>
          <w:numId w:val="3"/>
        </w:numPr>
        <w:spacing w:after="70" w:line="280"/>
      </w:pPr>
      <w:r>
        <w:rPr>
          <w:rFonts w:ascii="Calibri" w:cs="Calibri" w:eastAsia="Calibri" w:hAnsi="Calibri"/>
          <w:color w:val="1E293B"/>
          <w:sz w:val="21"/>
          <w:szCs w:val="21"/>
        </w:rPr>
        <w:t xml:space="preserve">All localisable text extractable — no text baked into images, no text burnt into video.</w:t>
      </w:r>
    </w:p>
    <w:p>
      <w:pPr>
        <w:pStyle w:val="ListParagraph"/>
        <w:numPr>
          <w:ilvl w:val="0"/>
          <w:numId w:val="3"/>
        </w:numPr>
        <w:spacing w:after="70" w:line="280"/>
      </w:pPr>
      <w:r>
        <w:rPr>
          <w:rFonts w:ascii="Calibri" w:cs="Calibri" w:eastAsia="Calibri" w:hAnsi="Calibri"/>
          <w:color w:val="1E293B"/>
          <w:sz w:val="21"/>
          <w:szCs w:val="21"/>
        </w:rPr>
        <w:t xml:space="preserve">Layered source files for all graphics so text layers can be swapped.</w:t>
      </w:r>
    </w:p>
    <w:p>
      <w:pPr>
        <w:pStyle w:val="ListParagraph"/>
        <w:numPr>
          <w:ilvl w:val="0"/>
          <w:numId w:val="3"/>
        </w:numPr>
        <w:spacing w:after="70" w:line="280"/>
      </w:pPr>
      <w:r>
        <w:rPr>
          <w:rFonts w:ascii="Calibri" w:cs="Calibri" w:eastAsia="Calibri" w:hAnsi="Calibri"/>
          <w:color w:val="1E293B"/>
          <w:sz w:val="21"/>
          <w:szCs w:val="21"/>
        </w:rPr>
        <w:t xml:space="preserve">A glossary or termbase approved by us before translation begins.</w:t>
      </w:r>
    </w:p>
    <w:p>
      <w:pPr>
        <w:pStyle w:val="ListParagraph"/>
        <w:numPr>
          <w:ilvl w:val="0"/>
          <w:numId w:val="3"/>
        </w:numPr>
        <w:spacing w:after="70" w:line="280"/>
      </w:pPr>
      <w:r>
        <w:rPr>
          <w:rFonts w:ascii="Calibri" w:cs="Calibri" w:eastAsia="Calibri" w:hAnsi="Calibri"/>
          <w:color w:val="1E293B"/>
          <w:sz w:val="21"/>
          <w:szCs w:val="21"/>
        </w:rPr>
        <w:t xml:space="preserve">Layout headroom for text expansion. W3C, citing IBM, puts average expansion from English into European languages at 200–300% for strings under ten characters, falling to about 130% for strings over seventy. Pseudo-localisation testing before English UI sign-off is required.</w:t>
      </w:r>
    </w:p>
    <w:p>
      <w:pPr>
        <w:pStyle w:val="ListParagraph"/>
        <w:numPr>
          <w:ilvl w:val="0"/>
          <w:numId w:val="3"/>
        </w:numPr>
        <w:spacing w:after="70" w:line="280"/>
      </w:pPr>
      <w:r>
        <w:rPr>
          <w:rFonts w:ascii="Calibri" w:cs="Calibri" w:eastAsia="Calibri" w:hAnsi="Calibri"/>
          <w:color w:val="1E293B"/>
          <w:sz w:val="21"/>
          <w:szCs w:val="21"/>
        </w:rPr>
        <w:t xml:space="preserve">Human voiceover and synthetic voice priced separately per language, with named voice samples for approval before recording.</w:t>
      </w:r>
    </w:p>
    <w:p>
      <w:pPr>
        <w:pStyle w:val="ListParagraph"/>
        <w:numPr>
          <w:ilvl w:val="0"/>
          <w:numId w:val="3"/>
        </w:numPr>
        <w:spacing w:after="70" w:line="280"/>
      </w:pPr>
      <w:r>
        <w:rPr>
          <w:rFonts w:ascii="Calibri" w:cs="Calibri" w:eastAsia="Calibri" w:hAnsi="Calibri"/>
          <w:color w:val="1E293B"/>
          <w:sz w:val="21"/>
          <w:szCs w:val="21"/>
        </w:rPr>
        <w:t xml:space="preserve">Audio source masters (uncompressed, unmixed stems) and timed scripts delivered as project assets.</w:t>
      </w:r>
    </w:p>
    <w:p>
      <w:pPr>
        <w:pStyle w:val="ListParagraph"/>
        <w:numPr>
          <w:ilvl w:val="0"/>
          <w:numId w:val="3"/>
        </w:numPr>
        <w:spacing w:after="70" w:line="280"/>
      </w:pPr>
      <w:r>
        <w:rPr>
          <w:rFonts w:ascii="Calibri" w:cs="Calibri" w:eastAsia="Calibri" w:hAnsi="Calibri"/>
          <w:color w:val="1E293B"/>
          <w:sz w:val="21"/>
          <w:szCs w:val="21"/>
        </w:rPr>
        <w:t xml:space="preserve">Caption format named: WebVTT for HTML5 player delivery, TTML2 where broadcast or archive interchange matters. SRT is a working format only.</w:t>
      </w:r>
    </w:p>
    <w:p>
      <w:pPr>
        <w:pStyle w:val="ListParagraph"/>
        <w:numPr>
          <w:ilvl w:val="0"/>
          <w:numId w:val="3"/>
        </w:numPr>
        <w:spacing w:after="70" w:line="280"/>
      </w:pPr>
      <w:r>
        <w:rPr>
          <w:rFonts w:ascii="Calibri" w:cs="Calibri" w:eastAsia="Calibri" w:hAnsi="Calibri"/>
          <w:color w:val="1E293B"/>
          <w:sz w:val="21"/>
          <w:szCs w:val="21"/>
        </w:rPr>
        <w:t xml:space="preserve">A named in-country reviewer per locale with a defined SLA and a structured review form. In-country sign-off is a payment gate.</w:t>
      </w:r>
    </w:p>
    <w:p>
      <w:pPr>
        <w:pStyle w:val="ListParagraph"/>
        <w:numPr>
          <w:ilvl w:val="0"/>
          <w:numId w:val="3"/>
        </w:numPr>
        <w:spacing w:after="70" w:line="280"/>
      </w:pPr>
      <w:r>
        <w:rPr>
          <w:rFonts w:ascii="Calibri" w:cs="Calibri" w:eastAsia="Calibri" w:hAnsi="Calibri"/>
          <w:color w:val="1E293B"/>
          <w:sz w:val="21"/>
          <w:szCs w:val="21"/>
        </w:rPr>
        <w:t xml:space="preserve">Where machine translation post-editing is used, ISO 18587 applies and its use must be disclosed. Where human translation is claimed, ISO 17100 applies.</w:t>
      </w:r>
    </w:p>
    <w:p>
      <w:r>
        <w:br w:type="page"/>
      </w:r>
    </w:p>
    <w:p>
      <w:pPr>
        <w:pStyle w:val="Heading2"/>
        <w:spacing w:after="120" w:before="260"/>
      </w:pPr>
      <w:r>
        <w:rPr>
          <w:rFonts w:ascii="Calibri" w:cs="Calibri" w:eastAsia="Calibri" w:hAnsi="Calibri"/>
          <w:b/>
          <w:bCs/>
          <w:color w:val="2563EB"/>
          <w:sz w:val="24"/>
          <w:szCs w:val="24"/>
        </w:rPr>
        <w:t xml:space="preserve">A9. Review cycle, revision rounds and approval gates</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1123"/>
        <w:gridCol w:w="2995"/>
        <w:gridCol w:w="1498"/>
        <w:gridCol w:w="1685"/>
        <w:gridCol w:w="2059"/>
      </w:tblGrid>
      <w:tr>
        <w:trPr>
          <w:tblHeader/>
        </w:trPr>
        <w:tc>
          <w:tcPr>
            <w:tcW w:type="dxa" w:w="1123"/>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Gate</w:t>
            </w:r>
          </w:p>
        </w:tc>
        <w:tc>
          <w:tcPr>
            <w:tcW w:type="dxa" w:w="2995"/>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Deliverable</w:t>
            </w:r>
          </w:p>
        </w:tc>
        <w:tc>
          <w:tcPr>
            <w:tcW w:type="dxa" w:w="149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Our reviewers</w:t>
            </w:r>
          </w:p>
        </w:tc>
        <w:tc>
          <w:tcPr>
            <w:tcW w:type="dxa" w:w="1685"/>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Our turnaround</w:t>
            </w:r>
          </w:p>
        </w:tc>
        <w:tc>
          <w:tcPr>
            <w:tcW w:type="dxa" w:w="2059"/>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Included revision rounds</w:t>
            </w:r>
          </w:p>
        </w:tc>
      </w:tr>
      <w:tr>
        <w:tc>
          <w:tcPr>
            <w:tcW w:type="dxa" w:w="1123"/>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Outline</w:t>
            </w:r>
          </w:p>
        </w:tc>
        <w:tc>
          <w:tcPr>
            <w:tcW w:type="dxa" w:w="299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curriculum map, learning objectives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e.g. 5 working days ]</w:t>
            </w:r>
          </w:p>
        </w:tc>
        <w:tc>
          <w:tcPr>
            <w:tcW w:type="dxa" w:w="2059"/>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123"/>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Storyboard</w:t>
            </w:r>
          </w:p>
        </w:tc>
        <w:tc>
          <w:tcPr>
            <w:tcW w:type="dxa" w:w="299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full script and screen design for one module first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123"/>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Alpha</w:t>
            </w:r>
          </w:p>
        </w:tc>
        <w:tc>
          <w:tcPr>
            <w:tcW w:type="dxa" w:w="299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first functional build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2059"/>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123"/>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Beta</w:t>
            </w:r>
          </w:p>
        </w:tc>
        <w:tc>
          <w:tcPr>
            <w:tcW w:type="dxa" w:w="299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media complete, accessibility remediated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2059"/>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123"/>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Gold</w:t>
            </w:r>
          </w:p>
        </w:tc>
        <w:tc>
          <w:tcPr>
            <w:tcW w:type="dxa" w:w="299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packaged, LMS-tested, source files delivered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2059"/>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bl>
    <w:p>
      <w:pPr>
        <w:spacing w:after="120" w:before="160" w:line="280"/>
      </w:pPr>
      <w:r>
        <w:rPr>
          <w:rFonts w:ascii="Calibri" w:cs="Calibri" w:eastAsia="Calibri" w:hAnsi="Calibri"/>
          <w:b/>
          <w:bCs/>
          <w:color w:val="1E293B"/>
          <w:sz w:val="21"/>
          <w:szCs w:val="21"/>
        </w:rPr>
        <w:t xml:space="preserve">Definitions we require the bidder to agree (do not leave these to interpretation):</w:t>
      </w:r>
    </w:p>
    <w:p>
      <w:pPr>
        <w:pStyle w:val="ListParagraph"/>
        <w:numPr>
          <w:ilvl w:val="0"/>
          <w:numId w:val="2"/>
        </w:numPr>
        <w:spacing w:after="90" w:line="280"/>
      </w:pPr>
      <w:r>
        <w:rPr>
          <w:rFonts w:ascii="Calibri" w:cs="Calibri" w:eastAsia="Calibri" w:hAnsi="Calibri"/>
          <w:color w:val="1E293B"/>
          <w:sz w:val="21"/>
          <w:szCs w:val="21"/>
        </w:rPr>
        <w:t xml:space="preserve">What constitutes one revision round, in writing.</w:t>
      </w:r>
    </w:p>
    <w:p>
      <w:pPr>
        <w:pStyle w:val="ListParagraph"/>
        <w:numPr>
          <w:ilvl w:val="0"/>
          <w:numId w:val="2"/>
        </w:numPr>
        <w:spacing w:after="90" w:line="280"/>
      </w:pPr>
      <w:r>
        <w:rPr>
          <w:rFonts w:ascii="Calibri" w:cs="Calibri" w:eastAsia="Calibri" w:hAnsi="Calibri"/>
          <w:color w:val="1E293B"/>
          <w:sz w:val="21"/>
          <w:szCs w:val="21"/>
        </w:rPr>
        <w:t xml:space="preserve">What counts as a revision versus a change of scope.</w:t>
      </w:r>
    </w:p>
    <w:p>
      <w:pPr>
        <w:pStyle w:val="ListParagraph"/>
        <w:numPr>
          <w:ilvl w:val="0"/>
          <w:numId w:val="2"/>
        </w:numPr>
        <w:spacing w:after="90" w:line="280"/>
      </w:pPr>
      <w:r>
        <w:rPr>
          <w:rFonts w:ascii="Calibri" w:cs="Calibri" w:eastAsia="Calibri" w:hAnsi="Calibri"/>
          <w:color w:val="1E293B"/>
          <w:sz w:val="21"/>
          <w:szCs w:val="21"/>
        </w:rPr>
        <w:t xml:space="preserve">Whether contradictory feedback from multiple reviewers counts as one round or several.</w:t>
      </w:r>
    </w:p>
    <w:p>
      <w:pPr>
        <w:pStyle w:val="ListParagraph"/>
        <w:numPr>
          <w:ilvl w:val="0"/>
          <w:numId w:val="2"/>
        </w:numPr>
        <w:spacing w:after="90" w:line="280"/>
      </w:pPr>
      <w:r>
        <w:rPr>
          <w:rFonts w:ascii="Calibri" w:cs="Calibri" w:eastAsia="Calibri" w:hAnsi="Calibri"/>
          <w:color w:val="1E293B"/>
          <w:sz w:val="21"/>
          <w:szCs w:val="21"/>
        </w:rPr>
        <w:t xml:space="preserve">The cost of an additional round beyond the included allowance, at a rate agreed in advance.</w:t>
      </w:r>
    </w:p>
    <w:p>
      <w:pPr>
        <w:pStyle w:val="ListParagraph"/>
        <w:numPr>
          <w:ilvl w:val="0"/>
          <w:numId w:val="2"/>
        </w:numPr>
        <w:spacing w:after="90" w:line="280"/>
      </w:pPr>
      <w:r>
        <w:rPr>
          <w:rFonts w:ascii="Calibri" w:cs="Calibri" w:eastAsia="Calibri" w:hAnsi="Calibri"/>
          <w:color w:val="1E293B"/>
          <w:sz w:val="21"/>
          <w:szCs w:val="21"/>
        </w:rPr>
        <w:t xml:space="preserve">What happens if we miss a review window — and what happens if the bidder does.</w:t>
      </w:r>
    </w:p>
    <w:p>
      <w:pPr>
        <w:pBdr>
          <w:left w:val="single" w:color="D97757" w:sz="18" w:space="8"/>
        </w:pBdr>
        <w:shd w:fill="FFF7ED" w:val="clear"/>
        <w:spacing w:after="180" w:before="140" w:line="280"/>
      </w:pPr>
      <w:r>
        <w:rPr>
          <w:rFonts w:ascii="Calibri" w:cs="Calibri" w:eastAsia="Calibri" w:hAnsi="Calibri"/>
          <w:i/>
          <w:iCs/>
          <w:color w:val="431407"/>
          <w:sz w:val="20"/>
          <w:szCs w:val="20"/>
        </w:rPr>
        <w:t xml:space="preserve">This is the most common source of downstream dispute in content development, and it is entirely preventable with five sentences.</w:t>
      </w:r>
    </w:p>
    <w:p>
      <w:pPr>
        <w:pStyle w:val="Heading2"/>
        <w:spacing w:after="120" w:before="260"/>
      </w:pPr>
      <w:r>
        <w:rPr>
          <w:rFonts w:ascii="Calibri" w:cs="Calibri" w:eastAsia="Calibri" w:hAnsi="Calibri"/>
          <w:b/>
          <w:bCs/>
          <w:color w:val="2563EB"/>
          <w:sz w:val="24"/>
          <w:szCs w:val="24"/>
        </w:rPr>
        <w:t xml:space="preserve">A10. Intellectual property, source files and exit</w:t>
      </w:r>
    </w:p>
    <w:p>
      <w:pPr>
        <w:spacing w:after="120" w:before="0" w:line="280"/>
      </w:pPr>
      <w:r>
        <w:rPr>
          <w:rFonts w:ascii="Calibri" w:cs="Calibri" w:eastAsia="Calibri" w:hAnsi="Calibri"/>
          <w:b/>
          <w:bCs/>
          <w:color w:val="1E293B"/>
          <w:sz w:val="21"/>
          <w:szCs w:val="21"/>
        </w:rPr>
        <w:t xml:space="preserve">Bidders must accept the following three clauses without amendment, or state their exception explicitly in their proposal. Amendments proposed after award will not be considered.</w:t>
      </w:r>
    </w:p>
    <w:p>
      <w:pPr>
        <w:spacing w:after="40" w:before="160" w:line="280"/>
      </w:pPr>
      <w:r>
        <w:rPr>
          <w:rFonts w:ascii="Calibri" w:cs="Calibri" w:eastAsia="Calibri" w:hAnsi="Calibri"/>
          <w:b/>
          <w:bCs/>
          <w:color w:val="1E293B"/>
          <w:sz w:val="21"/>
          <w:szCs w:val="21"/>
        </w:rPr>
        <w:t xml:space="preserve">Clause 1 — Ownership.</w:t>
      </w:r>
    </w:p>
    <w:p>
      <w:pPr>
        <w:spacing w:after="120" w:before="0" w:line="280"/>
        <w:ind w:left="360"/>
      </w:pPr>
      <w:r>
        <w:rPr>
          <w:rFonts w:ascii="Calibri" w:cs="Calibri" w:eastAsia="Calibri" w:hAnsi="Calibri"/>
          <w:color w:val="1E293B"/>
          <w:sz w:val="21"/>
          <w:szCs w:val="21"/>
        </w:rPr>
        <w:t xml:space="preserve">All materials developed under the resulting agreement belong solely and exclusively to [ Organisation ] and are considered works made for hire. To the extent any deliverable does not qualify as a work made for hire, the supplier hereby assigns to [ Organisation ] all right, title and interest, including ownership of copyright, in that deliverable.</w:t>
      </w:r>
    </w:p>
    <w:p>
      <w:pPr>
        <w:spacing w:after="40" w:before="160" w:line="280"/>
      </w:pPr>
      <w:r>
        <w:rPr>
          <w:rFonts w:ascii="Calibri" w:cs="Calibri" w:eastAsia="Calibri" w:hAnsi="Calibri"/>
          <w:b/>
          <w:bCs/>
          <w:color w:val="1E293B"/>
          <w:sz w:val="21"/>
          <w:szCs w:val="21"/>
        </w:rPr>
        <w:t xml:space="preserve">Clause 2 — Pre-existing intellectual property.</w:t>
      </w:r>
    </w:p>
    <w:p>
      <w:pPr>
        <w:spacing w:after="120" w:before="0" w:line="280"/>
        <w:ind w:left="360"/>
      </w:pPr>
      <w:r>
        <w:rPr>
          <w:rFonts w:ascii="Calibri" w:cs="Calibri" w:eastAsia="Calibri" w:hAnsi="Calibri"/>
          <w:color w:val="1E293B"/>
          <w:sz w:val="21"/>
          <w:szCs w:val="21"/>
        </w:rPr>
        <w:t xml:space="preserve">Intellectual property owned by the supplier before the engagement remains the supplier's. Where such pre-existing IP is incorporated into a deliverable, the supplier grants [ Organisation ] a free, non-exclusive, irrevocable, worldwide, transferable, sub-licensable and time-unlimited licence to use, modify and have modified that IP as part of the deliverable.</w:t>
      </w:r>
    </w:p>
    <w:p>
      <w:pPr>
        <w:spacing w:after="40" w:before="160" w:line="280"/>
      </w:pPr>
      <w:r>
        <w:rPr>
          <w:rFonts w:ascii="Calibri" w:cs="Calibri" w:eastAsia="Calibri" w:hAnsi="Calibri"/>
          <w:b/>
          <w:bCs/>
          <w:color w:val="1E293B"/>
          <w:sz w:val="21"/>
          <w:szCs w:val="21"/>
        </w:rPr>
        <w:t xml:space="preserve">Clause 3 — Editable source files and no vendor lock-in.</w:t>
      </w:r>
    </w:p>
    <w:p>
      <w:pPr>
        <w:spacing w:after="120" w:before="0" w:line="280"/>
        <w:ind w:left="360"/>
      </w:pPr>
      <w:r>
        <w:rPr>
          <w:rFonts w:ascii="Calibri" w:cs="Calibri" w:eastAsia="Calibri" w:hAnsi="Calibri"/>
          <w:color w:val="1E293B"/>
          <w:sz w:val="21"/>
          <w:szCs w:val="21"/>
        </w:rPr>
        <w:t xml:space="preserve">On acceptance, the supplier shall deliver the final published packages, the editable source version of every course, and all visual and audio assets used throughout, including layered graphics, uncompressed audio masters and timed scripts. If the supplier uses any proprietary software or file format that would prevent a second supplier from combining, editing or otherwise working with the final deliverables, that must be stated clearly in the proposal and alternative options made available. Every module must be capable of being updated or revised in future by [ Organisation ] or a third party.</w:t>
      </w:r>
    </w:p>
    <w:p>
      <w:pPr>
        <w:pBdr>
          <w:left w:val="single" w:color="D97757" w:sz="18" w:space="8"/>
        </w:pBdr>
        <w:shd w:fill="FFF7ED" w:val="clear"/>
        <w:spacing w:after="180" w:before="140" w:line="280"/>
      </w:pPr>
      <w:r>
        <w:rPr>
          <w:rFonts w:ascii="Calibri" w:cs="Calibri" w:eastAsia="Calibri" w:hAnsi="Calibri"/>
          <w:i/>
          <w:iCs/>
          <w:color w:val="431407"/>
          <w:sz w:val="20"/>
          <w:szCs w:val="20"/>
        </w:rPr>
        <w:t xml:space="preserve">Clause 3 is adapted from the ISO CASCO eLearning RFP (June 2024) and the State Bar of California RFP E-Learning Services (October 2024). It is the single most valuable paragraph in this template.</w:t>
      </w:r>
    </w:p>
    <w:p>
      <w:pPr>
        <w:shd w:fill="F1F5F9" w:val="clear"/>
        <w:spacing w:after="160" w:line="280"/>
      </w:pPr>
      <w:r>
        <w:rPr>
          <w:rFonts w:ascii="Calibri" w:cs="Calibri" w:eastAsia="Calibri" w:hAnsi="Calibri"/>
          <w:b/>
          <w:bCs/>
          <w:color w:val="0F172A"/>
          <w:sz w:val="21"/>
          <w:szCs w:val="21"/>
        </w:rPr>
        <w:t xml:space="preserve">File list we require at handover, by extension:  </w:t>
      </w:r>
      <w:r>
        <w:rPr>
          <w:rFonts w:ascii="Calibri" w:cs="Calibri" w:eastAsia="Calibri" w:hAnsi="Calibri"/>
          <w:i/>
          <w:iCs/>
          <w:color w:val="64748B"/>
          <w:sz w:val="21"/>
          <w:szCs w:val="21"/>
        </w:rPr>
        <w:t xml:space="preserve">[ bidder to complete ]</w:t>
      </w:r>
    </w:p>
    <w:p>
      <w:pPr>
        <w:pStyle w:val="Heading2"/>
        <w:spacing w:after="120" w:before="260"/>
      </w:pPr>
      <w:r>
        <w:rPr>
          <w:rFonts w:ascii="Calibri" w:cs="Calibri" w:eastAsia="Calibri" w:hAnsi="Calibri"/>
          <w:b/>
          <w:bCs/>
          <w:color w:val="2563EB"/>
          <w:sz w:val="24"/>
          <w:szCs w:val="24"/>
        </w:rPr>
        <w:t xml:space="preserve">A11. Maintenance, support and versioning</w:t>
      </w:r>
    </w:p>
    <w:p>
      <w:pPr>
        <w:shd w:fill="F1F5F9" w:val="clear"/>
        <w:spacing w:after="160" w:line="280"/>
      </w:pPr>
      <w:r>
        <w:rPr>
          <w:rFonts w:ascii="Calibri" w:cs="Calibri" w:eastAsia="Calibri" w:hAnsi="Calibri"/>
          <w:b/>
          <w:bCs/>
          <w:color w:val="0F172A"/>
          <w:sz w:val="21"/>
          <w:szCs w:val="21"/>
        </w:rPr>
        <w:t xml:space="preserve">Annual update allowance:  </w:t>
      </w:r>
      <w:r>
        <w:rPr>
          <w:rFonts w:ascii="Calibri" w:cs="Calibri" w:eastAsia="Calibri" w:hAnsi="Calibri"/>
          <w:i/>
          <w:iCs/>
          <w:color w:val="64748B"/>
          <w:sz w:val="21"/>
          <w:szCs w:val="21"/>
        </w:rPr>
        <w:t xml:space="preserve">[ in days or modules per year ]</w:t>
      </w:r>
    </w:p>
    <w:p>
      <w:pPr>
        <w:shd w:fill="F1F5F9" w:val="clear"/>
        <w:spacing w:after="160" w:line="280"/>
      </w:pPr>
      <w:r>
        <w:rPr>
          <w:rFonts w:ascii="Calibri" w:cs="Calibri" w:eastAsia="Calibri" w:hAnsi="Calibri"/>
          <w:b/>
          <w:bCs/>
          <w:color w:val="0F172A"/>
          <w:sz w:val="21"/>
          <w:szCs w:val="21"/>
        </w:rPr>
        <w:t xml:space="preserve">SLA for a regulatory or safety correction: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Versioning and archive policy: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Support hours and escalation path:  </w:t>
      </w:r>
      <w:r>
        <w:rPr>
          <w:rFonts w:ascii="Calibri" w:cs="Calibri" w:eastAsia="Calibri" w:hAnsi="Calibri"/>
          <w:i/>
          <w:iCs/>
          <w:color w:val="64748B"/>
          <w:sz w:val="21"/>
          <w:szCs w:val="21"/>
        </w:rPr>
        <w:t xml:space="preserve">[ ]</w:t>
      </w:r>
    </w:p>
    <w:p>
      <w:pPr>
        <w:spacing w:after="120" w:before="0" w:line="280"/>
      </w:pPr>
      <w:r>
        <w:rPr>
          <w:rFonts w:ascii="Calibri" w:cs="Calibri" w:eastAsia="Calibri" w:hAnsi="Calibri"/>
          <w:b/>
          <w:bCs/>
          <w:color w:val="1E293B"/>
          <w:sz w:val="21"/>
          <w:szCs w:val="21"/>
        </w:rPr>
        <w:t xml:space="preserve">Bidders must answer: if the authoring tool ships a new version and our held file no longer opens in the version we own, what is your obligation and who bears the migration cost?</w:t>
      </w:r>
    </w:p>
    <w:p>
      <w:pPr>
        <w:pStyle w:val="Heading2"/>
        <w:spacing w:after="120" w:before="260"/>
      </w:pPr>
      <w:r>
        <w:rPr>
          <w:rFonts w:ascii="Calibri" w:cs="Calibri" w:eastAsia="Calibri" w:hAnsi="Calibri"/>
          <w:b/>
          <w:bCs/>
          <w:color w:val="2563EB"/>
          <w:sz w:val="24"/>
          <w:szCs w:val="24"/>
        </w:rPr>
        <w:t xml:space="preserve">A12. Commercial terms and submission requirements</w:t>
      </w:r>
    </w:p>
    <w:p>
      <w:pPr>
        <w:shd w:fill="F1F5F9" w:val="clear"/>
        <w:spacing w:after="160" w:line="280"/>
      </w:pPr>
      <w:r>
        <w:rPr>
          <w:rFonts w:ascii="Calibri" w:cs="Calibri" w:eastAsia="Calibri" w:hAnsi="Calibri"/>
          <w:b/>
          <w:bCs/>
          <w:color w:val="0F172A"/>
          <w:sz w:val="21"/>
          <w:szCs w:val="21"/>
        </w:rPr>
        <w:t xml:space="preserve">Budget range for this engagement:  </w:t>
      </w:r>
      <w:r>
        <w:rPr>
          <w:rFonts w:ascii="Calibri" w:cs="Calibri" w:eastAsia="Calibri" w:hAnsi="Calibri"/>
          <w:i/>
          <w:iCs/>
          <w:color w:val="64748B"/>
          <w:sz w:val="21"/>
          <w:szCs w:val="21"/>
        </w:rPr>
        <w:t xml:space="preserve">[ publish it — see the note below ]</w:t>
      </w:r>
    </w:p>
    <w:p>
      <w:pPr>
        <w:shd w:fill="F1F5F9" w:val="clear"/>
        <w:spacing w:after="160" w:line="280"/>
      </w:pPr>
      <w:r>
        <w:rPr>
          <w:rFonts w:ascii="Calibri" w:cs="Calibri" w:eastAsia="Calibri" w:hAnsi="Calibri"/>
          <w:b/>
          <w:bCs/>
          <w:color w:val="0F172A"/>
          <w:sz w:val="21"/>
          <w:szCs w:val="21"/>
        </w:rPr>
        <w:t xml:space="preserve">Contract term and renewal options: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Payment schedule and milestones:  </w:t>
      </w:r>
      <w:r>
        <w:rPr>
          <w:rFonts w:ascii="Calibri" w:cs="Calibri" w:eastAsia="Calibri" w:hAnsi="Calibri"/>
          <w:i/>
          <w:iCs/>
          <w:color w:val="64748B"/>
          <w:sz w:val="21"/>
          <w:szCs w:val="21"/>
        </w:rPr>
        <w:t xml:space="preserve">[ ]</w:t>
      </w:r>
    </w:p>
    <w:p>
      <w:pPr>
        <w:shd w:fill="F1F5F9" w:val="clear"/>
        <w:spacing w:after="160" w:line="280"/>
      </w:pPr>
      <w:r>
        <w:rPr>
          <w:rFonts w:ascii="Calibri" w:cs="Calibri" w:eastAsia="Calibri" w:hAnsi="Calibri"/>
          <w:b/>
          <w:bCs/>
          <w:color w:val="0F172A"/>
          <w:sz w:val="21"/>
          <w:szCs w:val="21"/>
        </w:rPr>
        <w:t xml:space="preserve">Insurance, security and data protection requirements:  </w:t>
      </w:r>
      <w:r>
        <w:rPr>
          <w:rFonts w:ascii="Calibri" w:cs="Calibri" w:eastAsia="Calibri" w:hAnsi="Calibri"/>
          <w:i/>
          <w:iCs/>
          <w:color w:val="64748B"/>
          <w:sz w:val="21"/>
          <w:szCs w:val="21"/>
        </w:rPr>
        <w:t xml:space="preserve">[ e.g. SOC 2 Type II, HECVAT, ISO 27001, DPA, sub-processor list ]</w:t>
      </w:r>
    </w:p>
    <w:p>
      <w:pPr>
        <w:pBdr>
          <w:left w:val="single" w:color="D97757" w:sz="18" w:space="8"/>
        </w:pBdr>
        <w:shd w:fill="FFF7ED" w:val="clear"/>
        <w:spacing w:after="180" w:before="140" w:line="280"/>
      </w:pPr>
      <w:r>
        <w:rPr>
          <w:rFonts w:ascii="Calibri" w:cs="Calibri" w:eastAsia="Calibri" w:hAnsi="Calibri"/>
          <w:i/>
          <w:iCs/>
          <w:color w:val="431407"/>
          <w:sz w:val="20"/>
          <w:szCs w:val="20"/>
        </w:rPr>
        <w:t xml:space="preserve">Publish the budget range. Bidders pad against a range they cannot see, and a stated range filters out bids that were never viable. ISO published a CHF 100,000 cap and received proportionate proposals.</w:t>
      </w:r>
    </w:p>
    <w:p>
      <w:pPr>
        <w:spacing w:after="120" w:before="160" w:line="280"/>
      </w:pPr>
      <w:r>
        <w:rPr>
          <w:rFonts w:ascii="Calibri" w:cs="Calibri" w:eastAsia="Calibri" w:hAnsi="Calibri"/>
          <w:b/>
          <w:bCs/>
          <w:color w:val="1E293B"/>
          <w:sz w:val="21"/>
          <w:szCs w:val="21"/>
        </w:rPr>
        <w:t xml:space="preserve">Pricing must be submitted as hours by role and by phase, not as a blended rate:</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2995"/>
        <w:gridCol w:w="1872"/>
        <w:gridCol w:w="1310"/>
        <w:gridCol w:w="1498"/>
        <w:gridCol w:w="1685"/>
      </w:tblGrid>
      <w:tr>
        <w:trPr>
          <w:tblHeader/>
        </w:trPr>
        <w:tc>
          <w:tcPr>
            <w:tcW w:type="dxa" w:w="2995"/>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Phase</w:t>
            </w:r>
          </w:p>
        </w:tc>
        <w:tc>
          <w:tcPr>
            <w:tcW w:type="dxa" w:w="187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Role</w:t>
            </w:r>
          </w:p>
        </w:tc>
        <w:tc>
          <w:tcPr>
            <w:tcW w:type="dxa" w:w="1310"/>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Rate</w:t>
            </w:r>
          </w:p>
        </w:tc>
        <w:tc>
          <w:tcPr>
            <w:tcW w:type="dxa" w:w="149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Estimated hours</w:t>
            </w:r>
          </w:p>
        </w:tc>
        <w:tc>
          <w:tcPr>
            <w:tcW w:type="dxa" w:w="1685"/>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Total</w:t>
            </w:r>
          </w:p>
        </w:tc>
      </w:tr>
      <w:tr>
        <w:tc>
          <w:tcPr>
            <w:tcW w:type="dxa" w:w="2995"/>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Analysis and curriculum design</w:t>
            </w:r>
          </w:p>
        </w:tc>
        <w:tc>
          <w:tcPr>
            <w:tcW w:type="dxa" w:w="187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Storyboard and scripting</w:t>
            </w:r>
          </w:p>
        </w:tc>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Media production</w:t>
            </w:r>
          </w:p>
        </w:tc>
        <w:tc>
          <w:tcPr>
            <w:tcW w:type="dxa" w:w="187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Development and build</w:t>
            </w:r>
          </w:p>
        </w:tc>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QA and functional testing</w:t>
            </w:r>
          </w:p>
        </w:tc>
        <w:tc>
          <w:tcPr>
            <w:tcW w:type="dxa" w:w="187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Accessibility audit and remediation</w:t>
            </w:r>
          </w:p>
        </w:tc>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LMS integration and packaging</w:t>
            </w:r>
          </w:p>
        </w:tc>
        <w:tc>
          <w:tcPr>
            <w:tcW w:type="dxa" w:w="187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Localisation, per language</w:t>
            </w:r>
          </w:p>
        </w:tc>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Project management</w:t>
            </w:r>
          </w:p>
        </w:tc>
        <w:tc>
          <w:tcPr>
            <w:tcW w:type="dxa" w:w="187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2995"/>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Maintenance, years 2 and 3</w:t>
            </w:r>
          </w:p>
        </w:tc>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31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bl>
    <w:p>
      <w:pPr>
        <w:spacing w:after="120" w:before="160" w:line="280"/>
      </w:pPr>
      <w:r>
        <w:rPr>
          <w:rFonts w:ascii="Calibri" w:cs="Calibri" w:eastAsia="Calibri" w:hAnsi="Calibri"/>
          <w:b/>
          <w:bCs/>
          <w:color w:val="1E293B"/>
          <w:sz w:val="21"/>
          <w:szCs w:val="21"/>
        </w:rPr>
        <w:t xml:space="preserve">Submission requirements:</w:t>
      </w:r>
    </w:p>
    <w:p>
      <w:pPr>
        <w:pStyle w:val="ListParagraph"/>
        <w:numPr>
          <w:ilvl w:val="0"/>
          <w:numId w:val="3"/>
        </w:numPr>
        <w:spacing w:after="70" w:line="280"/>
      </w:pPr>
      <w:r>
        <w:rPr>
          <w:rFonts w:ascii="Calibri" w:cs="Calibri" w:eastAsia="Calibri" w:hAnsi="Calibri"/>
          <w:color w:val="1E293B"/>
          <w:sz w:val="21"/>
          <w:szCs w:val="21"/>
        </w:rPr>
        <w:t xml:space="preserve">Proposal narrative limited to [ 5 ] pages excluding appendices.</w:t>
      </w:r>
    </w:p>
    <w:p>
      <w:pPr>
        <w:pStyle w:val="ListParagraph"/>
        <w:numPr>
          <w:ilvl w:val="0"/>
          <w:numId w:val="3"/>
        </w:numPr>
        <w:spacing w:after="70" w:line="280"/>
      </w:pPr>
      <w:r>
        <w:rPr>
          <w:rFonts w:ascii="Calibri" w:cs="Calibri" w:eastAsia="Calibri" w:hAnsi="Calibri"/>
          <w:color w:val="1E293B"/>
          <w:sz w:val="21"/>
          <w:szCs w:val="21"/>
        </w:rPr>
        <w:t xml:space="preserve">Executive summary limited to [ 2 ] pages.</w:t>
      </w:r>
    </w:p>
    <w:p>
      <w:pPr>
        <w:pStyle w:val="ListParagraph"/>
        <w:numPr>
          <w:ilvl w:val="0"/>
          <w:numId w:val="3"/>
        </w:numPr>
        <w:spacing w:after="70" w:line="280"/>
      </w:pPr>
      <w:r>
        <w:rPr>
          <w:rFonts w:ascii="Calibri" w:cs="Calibri" w:eastAsia="Calibri" w:hAnsi="Calibri"/>
          <w:color w:val="1E293B"/>
          <w:sz w:val="21"/>
          <w:szCs w:val="21"/>
        </w:rPr>
        <w:t xml:space="preserve">Named CVs for every person who will work on this engagement, with percentage allocation.</w:t>
      </w:r>
    </w:p>
    <w:p>
      <w:pPr>
        <w:pStyle w:val="ListParagraph"/>
        <w:numPr>
          <w:ilvl w:val="0"/>
          <w:numId w:val="3"/>
        </w:numPr>
        <w:spacing w:after="70" w:line="280"/>
      </w:pPr>
      <w:r>
        <w:rPr>
          <w:rFonts w:ascii="Calibri" w:cs="Calibri" w:eastAsia="Calibri" w:hAnsi="Calibri"/>
          <w:color w:val="1E293B"/>
          <w:sz w:val="21"/>
          <w:szCs w:val="21"/>
        </w:rPr>
        <w:t xml:space="preserve">Three contactable client references, at least one on a contract running two years or longer.</w:t>
      </w:r>
    </w:p>
    <w:p>
      <w:pPr>
        <w:pStyle w:val="ListParagraph"/>
        <w:numPr>
          <w:ilvl w:val="0"/>
          <w:numId w:val="3"/>
        </w:numPr>
        <w:spacing w:after="70" w:line="280"/>
      </w:pPr>
      <w:r>
        <w:rPr>
          <w:rFonts w:ascii="Calibri" w:cs="Calibri" w:eastAsia="Calibri" w:hAnsi="Calibri"/>
          <w:color w:val="1E293B"/>
          <w:sz w:val="21"/>
          <w:szCs w:val="21"/>
        </w:rPr>
        <w:t xml:space="preserve">Portfolio samples with live access, not screenshots. [ Specify how many and what access. ]</w:t>
      </w:r>
    </w:p>
    <w:p>
      <w:pPr>
        <w:pStyle w:val="ListParagraph"/>
        <w:numPr>
          <w:ilvl w:val="0"/>
          <w:numId w:val="3"/>
        </w:numPr>
        <w:spacing w:after="70" w:line="280"/>
      </w:pPr>
      <w:r>
        <w:rPr>
          <w:rFonts w:ascii="Calibri" w:cs="Calibri" w:eastAsia="Calibri" w:hAnsi="Calibri"/>
          <w:color w:val="1E293B"/>
          <w:sz w:val="21"/>
          <w:szCs w:val="21"/>
        </w:rPr>
        <w:t xml:space="preserve">Cost proposal in a separate file, so technical scoring can be completed blind.</w:t>
      </w:r>
    </w:p>
    <w:p>
      <w:pPr>
        <w:pStyle w:val="ListParagraph"/>
        <w:numPr>
          <w:ilvl w:val="0"/>
          <w:numId w:val="3"/>
        </w:numPr>
        <w:spacing w:after="70" w:line="280"/>
      </w:pPr>
      <w:r>
        <w:rPr>
          <w:rFonts w:ascii="Calibri" w:cs="Calibri" w:eastAsia="Calibri" w:hAnsi="Calibri"/>
          <w:color w:val="1E293B"/>
          <w:sz w:val="21"/>
          <w:szCs w:val="21"/>
        </w:rPr>
        <w:t xml:space="preserve">Signed acknowledgement of the clauses in Section A10 and Part B.</w:t>
      </w:r>
    </w:p>
    <w:p>
      <w:pPr>
        <w:pStyle w:val="ListParagraph"/>
        <w:numPr>
          <w:ilvl w:val="0"/>
          <w:numId w:val="3"/>
        </w:numPr>
        <w:spacing w:after="70" w:line="280"/>
      </w:pPr>
      <w:r>
        <w:rPr>
          <w:rFonts w:ascii="Calibri" w:cs="Calibri" w:eastAsia="Calibri" w:hAnsi="Calibri"/>
          <w:color w:val="1E293B"/>
          <w:sz w:val="21"/>
          <w:szCs w:val="21"/>
        </w:rPr>
        <w:t xml:space="preserve">Disclosure of any subcontracting, including which country the work will be performed in.</w:t>
      </w:r>
    </w:p>
    <w:p>
      <w:r>
        <w:br w:type="page"/>
      </w:r>
    </w:p>
    <w:p>
      <w:pPr>
        <w:pStyle w:val="Heading1"/>
        <w:spacing w:after="160" w:before="360"/>
      </w:pPr>
      <w:r>
        <w:rPr>
          <w:rFonts w:ascii="Calibri" w:cs="Calibri" w:eastAsia="Calibri" w:hAnsi="Calibri"/>
          <w:b/>
          <w:bCs/>
          <w:color w:val="0F172A"/>
          <w:sz w:val="30"/>
          <w:szCs w:val="30"/>
        </w:rPr>
        <w:t xml:space="preserve">Part B — Required vendor response questions</w:t>
      </w:r>
    </w:p>
    <w:p>
      <w:pPr>
        <w:spacing w:after="120" w:before="0" w:line="280"/>
      </w:pPr>
      <w:r>
        <w:rPr>
          <w:rFonts w:ascii="Calibri" w:cs="Calibri" w:eastAsia="Calibri" w:hAnsi="Calibri"/>
          <w:color w:val="1E293B"/>
          <w:sz w:val="21"/>
          <w:szCs w:val="21"/>
        </w:rPr>
        <w:t xml:space="preserve">Bidders must answer each of the following in writing. Answers form part of the contract. These are ordinary questions; they are uncomfortable only because the honest answers are inconvenient, which is exactly what makes them useful.</w:t>
      </w:r>
    </w:p>
    <w:p>
      <w:pPr>
        <w:pStyle w:val="ListParagraph"/>
        <w:numPr>
          <w:ilvl w:val="0"/>
          <w:numId w:val="2"/>
        </w:numPr>
        <w:spacing w:after="90" w:line="280"/>
      </w:pPr>
      <w:r>
        <w:rPr>
          <w:rFonts w:ascii="Calibri" w:cs="Calibri" w:eastAsia="Calibri" w:hAnsi="Calibri"/>
          <w:color w:val="1E293B"/>
          <w:sz w:val="21"/>
          <w:szCs w:val="21"/>
        </w:rPr>
        <w:t xml:space="preserve">How many revision rounds are included at each gate, and what precisely constitutes one round? What does an additional round cost, and does contradictory feedback from two of our reviewers count as one round or two?</w:t>
      </w:r>
    </w:p>
    <w:p>
      <w:pPr>
        <w:pStyle w:val="ListParagraph"/>
        <w:numPr>
          <w:ilvl w:val="0"/>
          <w:numId w:val="2"/>
        </w:numPr>
        <w:spacing w:after="90" w:line="280"/>
      </w:pPr>
      <w:r>
        <w:rPr>
          <w:rFonts w:ascii="Calibri" w:cs="Calibri" w:eastAsia="Calibri" w:hAnsi="Calibri"/>
          <w:color w:val="1E293B"/>
          <w:sz w:val="21"/>
          <w:szCs w:val="21"/>
        </w:rPr>
        <w:t xml:space="preserve">Who owns the source files on completion, and exactly which files will we receive? List them by extension. Does opening any of them require a licence we do not hold?</w:t>
      </w:r>
    </w:p>
    <w:p>
      <w:pPr>
        <w:pStyle w:val="ListParagraph"/>
        <w:numPr>
          <w:ilvl w:val="0"/>
          <w:numId w:val="2"/>
        </w:numPr>
        <w:spacing w:after="90" w:line="280"/>
      </w:pPr>
      <w:r>
        <w:rPr>
          <w:rFonts w:ascii="Calibri" w:cs="Calibri" w:eastAsia="Calibri" w:hAnsi="Calibri"/>
          <w:color w:val="1E293B"/>
          <w:sz w:val="21"/>
          <w:szCs w:val="21"/>
        </w:rPr>
        <w:t xml:space="preserve">What happens when the authoring tool version changes? Will our held file still open in the version we own, and who pays to migrate it?</w:t>
      </w:r>
    </w:p>
    <w:p>
      <w:pPr>
        <w:pStyle w:val="ListParagraph"/>
        <w:numPr>
          <w:ilvl w:val="0"/>
          <w:numId w:val="2"/>
        </w:numPr>
        <w:spacing w:after="90" w:line="280"/>
      </w:pPr>
      <w:r>
        <w:rPr>
          <w:rFonts w:ascii="Calibri" w:cs="Calibri" w:eastAsia="Calibri" w:hAnsi="Calibri"/>
          <w:color w:val="1E293B"/>
          <w:sz w:val="21"/>
          <w:szCs w:val="21"/>
        </w:rPr>
        <w:t xml:space="preserve">Is the team that wrote this proposal the team that will deliver the work? Name them, state their percentage allocation, and state your notification obligation if you substitute anyone.</w:t>
      </w:r>
    </w:p>
    <w:p>
      <w:pPr>
        <w:pStyle w:val="ListParagraph"/>
        <w:numPr>
          <w:ilvl w:val="0"/>
          <w:numId w:val="2"/>
        </w:numPr>
        <w:spacing w:after="90" w:line="280"/>
      </w:pPr>
      <w:r>
        <w:rPr>
          <w:rFonts w:ascii="Calibri" w:cs="Calibri" w:eastAsia="Calibri" w:hAnsi="Calibri"/>
          <w:color w:val="1E293B"/>
          <w:sz w:val="21"/>
          <w:szCs w:val="21"/>
        </w:rPr>
        <w:t xml:space="preserve">What was your actual turnaround from kickoff to gold on your last three projects of comparable size, and what caused any slippage?</w:t>
      </w:r>
    </w:p>
    <w:p>
      <w:pPr>
        <w:pStyle w:val="ListParagraph"/>
        <w:numPr>
          <w:ilvl w:val="0"/>
          <w:numId w:val="2"/>
        </w:numPr>
        <w:spacing w:after="90" w:line="280"/>
      </w:pPr>
      <w:r>
        <w:rPr>
          <w:rFonts w:ascii="Calibri" w:cs="Calibri" w:eastAsia="Calibri" w:hAnsi="Calibri"/>
          <w:color w:val="1E293B"/>
          <w:sz w:val="21"/>
          <w:szCs w:val="21"/>
        </w:rPr>
        <w:t xml:space="preserve">Can we speak to a client on a contract running two years or longer, rather than a recent launch?</w:t>
      </w:r>
    </w:p>
    <w:p>
      <w:pPr>
        <w:pStyle w:val="ListParagraph"/>
        <w:numPr>
          <w:ilvl w:val="0"/>
          <w:numId w:val="2"/>
        </w:numPr>
        <w:spacing w:after="90" w:line="280"/>
      </w:pPr>
      <w:r>
        <w:rPr>
          <w:rFonts w:ascii="Calibri" w:cs="Calibri" w:eastAsia="Calibri" w:hAnsi="Calibri"/>
          <w:color w:val="1E293B"/>
          <w:sz w:val="21"/>
          <w:szCs w:val="21"/>
        </w:rPr>
        <w:t xml:space="preserve">Which parts of this engagement will be subcontracted, to whom, and in which country? How are the QA and accessibility passes handled across that boundary, and who carries the data processing obligation?</w:t>
      </w:r>
    </w:p>
    <w:p>
      <w:pPr>
        <w:pStyle w:val="ListParagraph"/>
        <w:numPr>
          <w:ilvl w:val="0"/>
          <w:numId w:val="2"/>
        </w:numPr>
        <w:spacing w:after="90" w:line="280"/>
      </w:pPr>
      <w:r>
        <w:rPr>
          <w:rFonts w:ascii="Calibri" w:cs="Calibri" w:eastAsia="Calibri" w:hAnsi="Calibri"/>
          <w:color w:val="1E293B"/>
          <w:sz w:val="21"/>
          <w:szCs w:val="21"/>
        </w:rPr>
        <w:t xml:space="preserve">Where do you use machine translation or generative AI in your process, how is it disclosed, and who performs the human validation pass? What are they qualified in?</w:t>
      </w:r>
    </w:p>
    <w:p>
      <w:pPr>
        <w:pStyle w:val="ListParagraph"/>
        <w:numPr>
          <w:ilvl w:val="0"/>
          <w:numId w:val="2"/>
        </w:numPr>
        <w:spacing w:after="90" w:line="280"/>
      </w:pPr>
      <w:r>
        <w:rPr>
          <w:rFonts w:ascii="Calibri" w:cs="Calibri" w:eastAsia="Calibri" w:hAnsi="Calibri"/>
          <w:color w:val="1E293B"/>
          <w:sz w:val="21"/>
          <w:szCs w:val="21"/>
        </w:rPr>
        <w:t xml:space="preserve">What is your defect rate at acceptance, and how do you define a defect?</w:t>
      </w:r>
    </w:p>
    <w:p>
      <w:pPr>
        <w:pStyle w:val="ListParagraph"/>
        <w:numPr>
          <w:ilvl w:val="0"/>
          <w:numId w:val="2"/>
        </w:numPr>
        <w:spacing w:after="90" w:line="280"/>
      </w:pPr>
      <w:r>
        <w:rPr>
          <w:rFonts w:ascii="Calibri" w:cs="Calibri" w:eastAsia="Calibri" w:hAnsi="Calibri"/>
          <w:color w:val="1E293B"/>
          <w:sz w:val="21"/>
          <w:szCs w:val="21"/>
        </w:rPr>
        <w:t xml:space="preserve">What work have you declined to build, and why?</w:t>
      </w:r>
    </w:p>
    <w:p>
      <w:pPr>
        <w:pStyle w:val="ListParagraph"/>
        <w:numPr>
          <w:ilvl w:val="0"/>
          <w:numId w:val="2"/>
        </w:numPr>
        <w:spacing w:after="90" w:line="280"/>
      </w:pPr>
      <w:r>
        <w:rPr>
          <w:rFonts w:ascii="Calibri" w:cs="Calibri" w:eastAsia="Calibri" w:hAnsi="Calibri"/>
          <w:color w:val="1E293B"/>
          <w:sz w:val="21"/>
          <w:szCs w:val="21"/>
        </w:rPr>
        <w:t xml:space="preserve">If we terminated after phase one, what would we walk away with? Describe the deliverable state at each exit point.</w:t>
      </w:r>
    </w:p>
    <w:p>
      <w:pPr>
        <w:pStyle w:val="ListParagraph"/>
        <w:numPr>
          <w:ilvl w:val="0"/>
          <w:numId w:val="2"/>
        </w:numPr>
        <w:spacing w:after="90" w:line="280"/>
      </w:pPr>
      <w:r>
        <w:rPr>
          <w:rFonts w:ascii="Calibri" w:cs="Calibri" w:eastAsia="Calibri" w:hAnsi="Calibri"/>
          <w:color w:val="1E293B"/>
          <w:sz w:val="21"/>
          <w:szCs w:val="21"/>
        </w:rPr>
        <w:t xml:space="preserve">Describe your instructional design process, naming each review gate and who signs off at each one. What happens when a subject-matter expert misses a review?</w:t>
      </w:r>
    </w:p>
    <w:p>
      <w:pPr>
        <w:pStyle w:val="ListParagraph"/>
        <w:numPr>
          <w:ilvl w:val="0"/>
          <w:numId w:val="2"/>
        </w:numPr>
        <w:spacing w:after="90" w:line="280"/>
      </w:pPr>
      <w:r>
        <w:rPr>
          <w:rFonts w:ascii="Calibri" w:cs="Calibri" w:eastAsia="Calibri" w:hAnsi="Calibri"/>
          <w:color w:val="1E293B"/>
          <w:sz w:val="21"/>
          <w:szCs w:val="21"/>
        </w:rPr>
        <w:t xml:space="preserve">Which of the LMS platforms we have named have you personally shipped content into, and how many packages? What broke, and how did you fix it?</w:t>
      </w:r>
    </w:p>
    <w:p>
      <w:pPr>
        <w:pStyle w:val="ListParagraph"/>
        <w:numPr>
          <w:ilvl w:val="0"/>
          <w:numId w:val="2"/>
        </w:numPr>
        <w:spacing w:after="90" w:line="280"/>
      </w:pPr>
      <w:r>
        <w:rPr>
          <w:rFonts w:ascii="Calibri" w:cs="Calibri" w:eastAsia="Calibri" w:hAnsi="Calibri"/>
          <w:color w:val="1E293B"/>
          <w:sz w:val="21"/>
          <w:szCs w:val="21"/>
        </w:rPr>
        <w:t xml:space="preserve">What in our brief do you think is a bad idea, and what would you do instead?</w:t>
      </w:r>
    </w:p>
    <w:p>
      <w:r>
        <w:br w:type="page"/>
      </w:r>
    </w:p>
    <w:p>
      <w:pPr>
        <w:pStyle w:val="Heading1"/>
        <w:spacing w:after="160" w:before="360"/>
      </w:pPr>
      <w:r>
        <w:rPr>
          <w:rFonts w:ascii="Calibri" w:cs="Calibri" w:eastAsia="Calibri" w:hAnsi="Calibri"/>
          <w:b/>
          <w:bCs/>
          <w:color w:val="0F172A"/>
          <w:sz w:val="30"/>
          <w:szCs w:val="30"/>
        </w:rPr>
        <w:t xml:space="preserve">Part C — Evaluation and scoring rubric</w:t>
      </w:r>
    </w:p>
    <w:p>
      <w:pPr>
        <w:spacing w:after="120" w:before="0" w:line="280"/>
      </w:pPr>
      <w:r>
        <w:rPr>
          <w:rFonts w:ascii="Calibri" w:cs="Calibri" w:eastAsia="Calibri" w:hAnsi="Calibri"/>
          <w:color w:val="1E293B"/>
          <w:sz w:val="21"/>
          <w:szCs w:val="21"/>
        </w:rPr>
        <w:t xml:space="preserve">Publish this section in the issued RFP. Bidders who know how they will be scored write better proposals, and a published rubric is your written defence of the award.</w:t>
      </w:r>
    </w:p>
    <w:p>
      <w:pPr>
        <w:pStyle w:val="Heading2"/>
        <w:spacing w:after="120" w:before="260"/>
      </w:pPr>
      <w:r>
        <w:rPr>
          <w:rFonts w:ascii="Calibri" w:cs="Calibri" w:eastAsia="Calibri" w:hAnsi="Calibri"/>
          <w:b/>
          <w:bCs/>
          <w:color w:val="2563EB"/>
          <w:sz w:val="24"/>
          <w:szCs w:val="24"/>
        </w:rPr>
        <w:t xml:space="preserve">Stage 1 — Pass or fail gates</w:t>
      </w:r>
    </w:p>
    <w:p>
      <w:pPr>
        <w:spacing w:after="120" w:before="0" w:line="280"/>
      </w:pPr>
      <w:r>
        <w:rPr>
          <w:rFonts w:ascii="Calibri" w:cs="Calibri" w:eastAsia="Calibri" w:hAnsi="Calibri"/>
          <w:color w:val="1E293B"/>
          <w:sz w:val="21"/>
          <w:szCs w:val="21"/>
        </w:rPr>
        <w:t xml:space="preserve">A proposal failing any gate is not scored. No negotiation at this stage.</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1872"/>
        <w:gridCol w:w="5803"/>
        <w:gridCol w:w="1685"/>
      </w:tblGrid>
      <w:tr>
        <w:trPr>
          <w:tblHeader/>
        </w:trPr>
        <w:tc>
          <w:tcPr>
            <w:tcW w:type="dxa" w:w="187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Gate</w:t>
            </w:r>
          </w:p>
        </w:tc>
        <w:tc>
          <w:tcPr>
            <w:tcW w:type="dxa" w:w="5803"/>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Pass condition</w:t>
            </w:r>
          </w:p>
        </w:tc>
        <w:tc>
          <w:tcPr>
            <w:tcW w:type="dxa" w:w="1685"/>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Pass / Fail</w:t>
            </w:r>
          </w:p>
        </w:tc>
      </w:tr>
      <w:tr>
        <w:tc>
          <w:tcPr>
            <w:tcW w:type="dxa" w:w="1872"/>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Source files and IP</w:t>
            </w:r>
          </w:p>
        </w:tc>
        <w:tc>
          <w:tcPr>
            <w:tcW w:type="dxa" w:w="580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Accepts Section A10 clauses 1, 2 and 3 without amendment.</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Accessibility evidence</w:t>
            </w:r>
          </w:p>
        </w:tc>
        <w:tc>
          <w:tcPr>
            <w:tcW w:type="dxa" w:w="580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Supplies a dated ACR on VPAT 2.5Rev and accepts an independent third-party audit of one module as an acceptance condition.</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872"/>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LMS proof</w:t>
            </w:r>
          </w:p>
        </w:tc>
        <w:tc>
          <w:tcPr>
            <w:tcW w:type="dxa" w:w="580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Agrees to a test import into our own tenant before design sign-off, with completion and score logic demonstrated.</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References</w:t>
            </w:r>
          </w:p>
        </w:tc>
        <w:tc>
          <w:tcPr>
            <w:tcW w:type="dxa" w:w="580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Three contactable clients, at least one on a contract of two years or longer.</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872"/>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Security and data</w:t>
            </w:r>
          </w:p>
        </w:tc>
        <w:tc>
          <w:tcPr>
            <w:tcW w:type="dxa" w:w="580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Supplies required attestations (e.g. SOC 2 Type II, HECVAT, ISO 27001) and accepts our DPA.</w:t>
            </w:r>
          </w:p>
        </w:tc>
        <w:tc>
          <w:tcPr>
            <w:tcW w:type="dxa" w:w="1685"/>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1872"/>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Completeness</w:t>
            </w:r>
          </w:p>
        </w:tc>
        <w:tc>
          <w:tcPr>
            <w:tcW w:type="dxa" w:w="580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All required sections and forms submitted by the deadline, within page limits, with cost in a separate file.</w:t>
            </w:r>
          </w:p>
        </w:tc>
        <w:tc>
          <w:tcPr>
            <w:tcW w:type="dxa" w:w="1685"/>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bl>
    <w:p>
      <w:pPr>
        <w:pStyle w:val="Heading2"/>
        <w:spacing w:after="120" w:before="260"/>
      </w:pPr>
      <w:r>
        <w:rPr>
          <w:rFonts w:ascii="Calibri" w:cs="Calibri" w:eastAsia="Calibri" w:hAnsi="Calibri"/>
          <w:b/>
          <w:bCs/>
          <w:color w:val="2563EB"/>
          <w:sz w:val="24"/>
          <w:szCs w:val="24"/>
        </w:rPr>
        <w:t xml:space="preserve">Stage 2 — Weighted scoring, 100 points</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2434"/>
        <w:gridCol w:w="936"/>
        <w:gridCol w:w="5990"/>
      </w:tblGrid>
      <w:tr>
        <w:trPr>
          <w:tblHeader/>
        </w:trPr>
        <w:tc>
          <w:tcPr>
            <w:tcW w:type="dxa" w:w="243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Criterion</w:t>
            </w:r>
          </w:p>
        </w:tc>
        <w:tc>
          <w:tcPr>
            <w:tcW w:type="dxa" w:w="936"/>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Weight</w:t>
            </w:r>
          </w:p>
        </w:tc>
        <w:tc>
          <w:tcPr>
            <w:tcW w:type="dxa" w:w="5990"/>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What a score of 5 looks like</w:t>
            </w:r>
          </w:p>
        </w:tc>
      </w:tr>
      <w:tr>
        <w:tc>
          <w:tcPr>
            <w:tcW w:type="dxa" w:w="2434"/>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Instructional design and delivery process</w:t>
            </w:r>
          </w:p>
        </w:tc>
        <w:tc>
          <w:tcPr>
            <w:tcW w:type="dxa" w:w="936"/>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30</w:t>
            </w:r>
          </w:p>
        </w:tc>
        <w:tc>
          <w:tcPr>
            <w:tcW w:type="dxa" w:w="599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 documented process with named gates and named sign-off roles. Design rationale tied to the stated behaviour change rather than to content coverage. A worked treatment of one of OUR modules, not a generic sample. Assessment design that tests application rather than recall. A stated policy for SME non-availability.</w:t>
            </w:r>
          </w:p>
        </w:tc>
      </w:tr>
      <w:tr>
        <w:tc>
          <w:tcPr>
            <w:tcW w:type="dxa" w:w="2434"/>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Technical and LMS delivery</w:t>
            </w:r>
          </w:p>
        </w:tc>
        <w:tc>
          <w:tcPr>
            <w:tcW w:type="dxa" w:w="936"/>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20</w:t>
            </w:r>
          </w:p>
        </w:tc>
        <w:tc>
          <w:tcPr>
            <w:tcW w:type="dxa" w:w="599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Names our LMS, its version and the specific constraints it imposes without being prompted. States suspend_data budget and file count per module. Explains completion and success logic. Declares all external dependencies. Commits to a test import date.</w:t>
            </w:r>
          </w:p>
        </w:tc>
      </w:tr>
      <w:tr>
        <w:tc>
          <w:tcPr>
            <w:tcW w:type="dxa" w:w="2434"/>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Commercial and total value</w:t>
            </w:r>
          </w:p>
        </w:tc>
        <w:tc>
          <w:tcPr>
            <w:tcW w:type="dxa" w:w="936"/>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20</w:t>
            </w:r>
          </w:p>
        </w:tc>
        <w:tc>
          <w:tcPr>
            <w:tcW w:type="dxa" w:w="599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Hours by role and phase. Day rates for change orders. Maintenance priced for years two and three. Localisation priced per language. Nothing material marked "TBC". Scored on value, not on lowest number.</w:t>
            </w:r>
          </w:p>
        </w:tc>
      </w:tr>
      <w:tr>
        <w:tc>
          <w:tcPr>
            <w:tcW w:type="dxa" w:w="2434"/>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Accessibility capability</w:t>
            </w:r>
          </w:p>
        </w:tc>
        <w:tc>
          <w:tcPr>
            <w:tcW w:type="dxa" w:w="936"/>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15</w:t>
            </w:r>
          </w:p>
        </w:tc>
        <w:tc>
          <w:tcPr>
            <w:tcW w:type="dxa" w:w="599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Names WCAG success criteria by number and explains how their interaction patterns satisfy them. Supplies an audit report rather than a claim. Has an accessibility specialist on the named team. Treats remediation as a phase with hours attached rather than as an assumption.</w:t>
            </w:r>
          </w:p>
        </w:tc>
      </w:tr>
      <w:tr>
        <w:tc>
          <w:tcPr>
            <w:tcW w:type="dxa" w:w="2434"/>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Team and track record</w:t>
            </w:r>
          </w:p>
        </w:tc>
        <w:tc>
          <w:tcPr>
            <w:tcW w:type="dxa" w:w="936"/>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15</w:t>
            </w:r>
          </w:p>
        </w:tc>
        <w:tc>
          <w:tcPr>
            <w:tcW w:type="dxa" w:w="5990"/>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Named individuals with CVs and percentage allocation. Proposal team and delivery team are the same people. References on multi-year contracts at comparable scale. Evidence of surviving a client reorganisation or a regulatory change mid-contract.</w:t>
            </w:r>
          </w:p>
        </w:tc>
      </w:tr>
      <w:tr>
        <w:tc>
          <w:tcPr>
            <w:tcW w:type="dxa" w:w="2434"/>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TOTAL</w:t>
            </w:r>
          </w:p>
        </w:tc>
        <w:tc>
          <w:tcPr>
            <w:tcW w:type="dxa" w:w="936"/>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100</w:t>
            </w:r>
          </w:p>
        </w:tc>
        <w:tc>
          <w:tcPr>
            <w:tcW w:type="dxa" w:w="5990"/>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r>
          </w:p>
        </w:tc>
      </w:tr>
    </w:tbl>
    <w:p>
      <w:pPr>
        <w:pStyle w:val="Heading2"/>
        <w:spacing w:after="120" w:before="260"/>
      </w:pPr>
      <w:r>
        <w:rPr>
          <w:rFonts w:ascii="Calibri" w:cs="Calibri" w:eastAsia="Calibri" w:hAnsi="Calibri"/>
          <w:b/>
          <w:bCs/>
          <w:color w:val="2563EB"/>
          <w:sz w:val="24"/>
          <w:szCs w:val="24"/>
        </w:rPr>
        <w:t xml:space="preserve">Score anchors — apply the same five to every criterion</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1498"/>
        <w:gridCol w:w="7862"/>
      </w:tblGrid>
      <w:tr>
        <w:trPr>
          <w:tblHeader/>
        </w:trPr>
        <w:tc>
          <w:tcPr>
            <w:tcW w:type="dxa" w:w="1498"/>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Score</w:t>
            </w:r>
          </w:p>
        </w:tc>
        <w:tc>
          <w:tcPr>
            <w:tcW w:type="dxa" w:w="786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Anchor</w:t>
            </w:r>
          </w:p>
        </w:tc>
      </w:tr>
      <w:tr>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5 — Exceeds</w:t>
            </w:r>
          </w:p>
        </w:tc>
        <w:tc>
          <w:tcPr>
            <w:tcW w:type="dxa" w:w="786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Specific, comprehensive and evidenced against our project. Tells us something about our own programme we had not written down.</w:t>
            </w:r>
          </w:p>
        </w:tc>
      </w:tr>
      <w:tr>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4 — Strong</w:t>
            </w:r>
          </w:p>
        </w:tc>
        <w:tc>
          <w:tcPr>
            <w:tcW w:type="dxa" w:w="786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Reasonably comprehensive with sufficient detail. Evidenced, but generic in places.</w:t>
            </w:r>
          </w:p>
        </w:tc>
      </w:tr>
      <w:tr>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3 — Adequate</w:t>
            </w:r>
          </w:p>
        </w:tc>
        <w:tc>
          <w:tcPr>
            <w:tcW w:type="dxa" w:w="786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Addresses the criterion but is non-specific and lacks detail. Could have been written for any buyer.</w:t>
            </w:r>
          </w:p>
        </w:tc>
      </w:tr>
      <w:tr>
        <w:tc>
          <w:tcPr>
            <w:tcW w:type="dxa" w:w="1498"/>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2 — Weak</w:t>
            </w:r>
          </w:p>
        </w:tc>
        <w:tc>
          <w:tcPr>
            <w:tcW w:type="dxa" w:w="7862"/>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Misses several elements, or contains statements that are inaccurate or contradicted elsewhere in the proposal.</w:t>
            </w:r>
          </w:p>
        </w:tc>
      </w:tr>
      <w:tr>
        <w:tc>
          <w:tcPr>
            <w:tcW w:type="dxa" w:w="1498"/>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0–1 — Fails</w:t>
            </w:r>
          </w:p>
        </w:tc>
        <w:tc>
          <w:tcPr>
            <w:tcW w:type="dxa" w:w="7862"/>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Does not address the criterion, or restates the question back at us.</w:t>
            </w:r>
          </w:p>
        </w:tc>
      </w:tr>
    </w:tbl>
    <w:p>
      <w:pPr>
        <w:spacing w:after="120" w:before="160" w:line="280"/>
      </w:pPr>
      <w:r>
        <w:rPr>
          <w:rFonts w:ascii="Calibri" w:cs="Calibri" w:eastAsia="Calibri" w:hAnsi="Calibri"/>
          <w:b/>
          <w:bCs/>
          <w:color w:val="1E293B"/>
          <w:sz w:val="21"/>
          <w:szCs w:val="21"/>
        </w:rPr>
        <w:t xml:space="preserve">Weighted points = (raw score out of 5 ÷ 5) × criterion weight. Minimum technical threshold before any cost file is opened: [ 70 ] of the 80 available non-cost points.</w:t>
      </w:r>
    </w:p>
    <w:p>
      <w:pPr>
        <w:pStyle w:val="Heading2"/>
        <w:spacing w:after="120" w:before="260"/>
      </w:pPr>
      <w:r>
        <w:rPr>
          <w:rFonts w:ascii="Calibri" w:cs="Calibri" w:eastAsia="Calibri" w:hAnsi="Calibri"/>
          <w:b/>
          <w:bCs/>
          <w:color w:val="2563EB"/>
          <w:sz w:val="24"/>
          <w:szCs w:val="24"/>
        </w:rPr>
        <w:t xml:space="preserve">Scorecard</w:t>
      </w:r>
    </w:p>
    <w:tbl>
      <w:tblPr>
        <w:tblW w:type="dxa" w:w="9360"/>
        <w:tblBorders>
          <w:top w:val="single" w:color="CBD5E1" w:sz="2"/>
          <w:left w:val="single" w:color="CBD5E1" w:sz="2"/>
          <w:bottom w:val="single" w:color="CBD5E1" w:sz="2"/>
          <w:right w:val="single" w:color="CBD5E1" w:sz="2"/>
          <w:insideH w:val="single" w:color="E2E8F0" w:sz="2"/>
          <w:insideV w:val="single" w:color="E2E8F0" w:sz="2"/>
        </w:tblBorders>
      </w:tblPr>
      <w:tblGrid>
        <w:gridCol w:w="3182"/>
        <w:gridCol w:w="1123"/>
        <w:gridCol w:w="1264"/>
        <w:gridCol w:w="1264"/>
        <w:gridCol w:w="1264"/>
        <w:gridCol w:w="1264"/>
      </w:tblGrid>
      <w:tr>
        <w:trPr>
          <w:tblHeader/>
        </w:trPr>
        <w:tc>
          <w:tcPr>
            <w:tcW w:type="dxa" w:w="3182"/>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Criterion</w:t>
            </w:r>
          </w:p>
        </w:tc>
        <w:tc>
          <w:tcPr>
            <w:tcW w:type="dxa" w:w="1123"/>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Weight</w:t>
            </w:r>
          </w:p>
        </w:tc>
        <w:tc>
          <w:tcPr>
            <w:tcW w:type="dxa" w:w="126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Vendor A</w:t>
            </w:r>
          </w:p>
        </w:tc>
        <w:tc>
          <w:tcPr>
            <w:tcW w:type="dxa" w:w="126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Vendor B</w:t>
            </w:r>
          </w:p>
        </w:tc>
        <w:tc>
          <w:tcPr>
            <w:tcW w:type="dxa" w:w="126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Vendor C</w:t>
            </w:r>
          </w:p>
        </w:tc>
        <w:tc>
          <w:tcPr>
            <w:tcW w:type="dxa" w:w="1264"/>
            <w:shd w:fill="0F172A" w:val="clear"/>
            <w:tcMar>
              <w:top w:type="dxa" w:w="90"/>
              <w:left w:type="dxa" w:w="130"/>
              <w:bottom w:type="dxa" w:w="90"/>
              <w:right w:type="dxa" w:w="130"/>
            </w:tcMar>
          </w:tcPr>
          <w:p>
            <w:pPr>
              <w:spacing w:after="0" w:before="0" w:line="260"/>
            </w:pPr>
            <w:r>
              <w:rPr>
                <w:rFonts w:ascii="Calibri" w:cs="Calibri" w:eastAsia="Calibri" w:hAnsi="Calibri"/>
                <w:b/>
                <w:bCs/>
                <w:color w:val="FFFFFF"/>
                <w:sz w:val="20"/>
                <w:szCs w:val="20"/>
              </w:rPr>
              <w:t xml:space="preserve">Vendor D</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Instructional design and process</w:t>
            </w:r>
          </w:p>
        </w:tc>
        <w:tc>
          <w:tcPr>
            <w:tcW w:type="dxa" w:w="112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30</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Technical and LMS delivery</w:t>
            </w:r>
          </w:p>
        </w:tc>
        <w:tc>
          <w:tcPr>
            <w:tcW w:type="dxa" w:w="112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20</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Commercial and total value</w:t>
            </w:r>
          </w:p>
        </w:tc>
        <w:tc>
          <w:tcPr>
            <w:tcW w:type="dxa" w:w="112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20</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Accessibility capability</w:t>
            </w:r>
          </w:p>
        </w:tc>
        <w:tc>
          <w:tcPr>
            <w:tcW w:type="dxa" w:w="112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15</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Team and track record</w:t>
            </w:r>
          </w:p>
        </w:tc>
        <w:tc>
          <w:tcPr>
            <w:tcW w:type="dxa" w:w="1123"/>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15</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r>
        <w:tc>
          <w:tcPr>
            <w:tcW w:type="dxa" w:w="3182"/>
            <w:shd w:fill="F8FAFC" w:val="clear"/>
            <w:tcMar>
              <w:top w:type="dxa" w:w="90"/>
              <w:left w:type="dxa" w:w="130"/>
              <w:bottom w:type="dxa" w:w="90"/>
              <w:right w:type="dxa" w:w="130"/>
            </w:tcMar>
          </w:tcPr>
          <w:p>
            <w:pPr>
              <w:spacing w:after="0" w:before="0" w:line="260"/>
            </w:pPr>
            <w:r>
              <w:rPr>
                <w:rFonts w:ascii="Calibri" w:cs="Calibri" w:eastAsia="Calibri" w:hAnsi="Calibri"/>
                <w:b/>
                <w:bCs/>
                <w:color w:val="1E293B"/>
                <w:sz w:val="20"/>
                <w:szCs w:val="20"/>
              </w:rPr>
              <w:t xml:space="preserve">WEIGHTED TOTAL</w:t>
            </w:r>
          </w:p>
        </w:tc>
        <w:tc>
          <w:tcPr>
            <w:tcW w:type="dxa" w:w="1123"/>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100</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c>
          <w:tcPr>
            <w:tcW w:type="dxa" w:w="1264"/>
            <w:shd w:fill="F8FAFC" w:val="clear"/>
            <w:tcMar>
              <w:top w:type="dxa" w:w="90"/>
              <w:left w:type="dxa" w:w="130"/>
              <w:bottom w:type="dxa" w:w="90"/>
              <w:right w:type="dxa" w:w="130"/>
            </w:tcMar>
          </w:tcPr>
          <w:p>
            <w:pPr>
              <w:spacing w:after="0" w:before="0" w:line="260"/>
            </w:pPr>
            <w:r>
              <w:rPr>
                <w:rFonts w:ascii="Calibri" w:cs="Calibri" w:eastAsia="Calibri" w:hAnsi="Calibri"/>
                <w:b w:val="false"/>
                <w:bCs w:val="false"/>
                <w:color w:val="1E293B"/>
                <w:sz w:val="20"/>
                <w:szCs w:val="20"/>
              </w:rPr>
              <w:t xml:space="preserve">[ ]</w:t>
            </w:r>
          </w:p>
        </w:tc>
      </w:tr>
    </w:tbl>
    <w:p>
      <w:pPr>
        <w:pStyle w:val="Heading2"/>
        <w:spacing w:after="120" w:before="260"/>
      </w:pPr>
      <w:r>
        <w:rPr>
          <w:rFonts w:ascii="Calibri" w:cs="Calibri" w:eastAsia="Calibri" w:hAnsi="Calibri"/>
          <w:b/>
          <w:bCs/>
          <w:color w:val="2563EB"/>
          <w:sz w:val="24"/>
          <w:szCs w:val="24"/>
        </w:rPr>
        <w:t xml:space="preserve">Adjusting the weights</w:t>
      </w:r>
    </w:p>
    <w:p>
      <w:pPr>
        <w:pStyle w:val="ListParagraph"/>
        <w:numPr>
          <w:ilvl w:val="0"/>
          <w:numId w:val="3"/>
        </w:numPr>
        <w:spacing w:after="70" w:line="280"/>
      </w:pPr>
      <w:r>
        <w:rPr>
          <w:rFonts w:ascii="Calibri" w:cs="Calibri" w:eastAsia="Calibri" w:hAnsi="Calibri"/>
          <w:color w:val="1E293B"/>
          <w:sz w:val="21"/>
          <w:szCs w:val="21"/>
        </w:rPr>
        <w:t xml:space="preserve">Regulated or safety-critical content: move 5 points from commercial into accessibility and 5 from team into instructional design, and make the independent audit a payment gate rather than an acceptance condition.</w:t>
      </w:r>
    </w:p>
    <w:p>
      <w:pPr>
        <w:pStyle w:val="ListParagraph"/>
        <w:numPr>
          <w:ilvl w:val="0"/>
          <w:numId w:val="3"/>
        </w:numPr>
        <w:spacing w:after="70" w:line="280"/>
      </w:pPr>
      <w:r>
        <w:rPr>
          <w:rFonts w:ascii="Calibri" w:cs="Calibri" w:eastAsia="Calibri" w:hAnsi="Calibri"/>
          <w:color w:val="1E293B"/>
          <w:sz w:val="21"/>
          <w:szCs w:val="21"/>
        </w:rPr>
        <w:t xml:space="preserve">Large multilingual rollout: carve a sixth criterion worth 10 points out of instructional design and technical for localisation capacity, scored on concurrent locale count, in-country review model and translation memory handover.</w:t>
      </w:r>
    </w:p>
    <w:p>
      <w:pPr>
        <w:pStyle w:val="ListParagraph"/>
        <w:numPr>
          <w:ilvl w:val="0"/>
          <w:numId w:val="3"/>
        </w:numPr>
        <w:spacing w:after="70" w:line="280"/>
      </w:pPr>
      <w:r>
        <w:rPr>
          <w:rFonts w:ascii="Calibri" w:cs="Calibri" w:eastAsia="Calibri" w:hAnsi="Calibri"/>
          <w:color w:val="1E293B"/>
          <w:sz w:val="21"/>
          <w:szCs w:val="21"/>
        </w:rPr>
        <w:t xml:space="preserve">First-time buyer with no internal instructional design capability: move 5 points from commercial into team and track record, and add a hard reference gate.</w:t>
      </w:r>
    </w:p>
    <w:p>
      <w:pPr>
        <w:pStyle w:val="ListParagraph"/>
        <w:numPr>
          <w:ilvl w:val="0"/>
          <w:numId w:val="3"/>
        </w:numPr>
        <w:spacing w:after="70" w:line="280"/>
      </w:pPr>
      <w:r>
        <w:rPr>
          <w:rFonts w:ascii="Calibri" w:cs="Calibri" w:eastAsia="Calibri" w:hAnsi="Calibri"/>
          <w:color w:val="1E293B"/>
          <w:sz w:val="21"/>
          <w:szCs w:val="21"/>
        </w:rPr>
        <w:t xml:space="preserve">In no case would we recommend weighting price above 30 points. None of the five real RFPs behind this template did.</w:t>
      </w:r>
    </w:p>
    <w:p>
      <w:pPr>
        <w:pStyle w:val="Heading2"/>
        <w:spacing w:after="120" w:before="260"/>
      </w:pPr>
      <w:r>
        <w:rPr>
          <w:rFonts w:ascii="Calibri" w:cs="Calibri" w:eastAsia="Calibri" w:hAnsi="Calibri"/>
          <w:b/>
          <w:bCs/>
          <w:color w:val="2563EB"/>
          <w:sz w:val="24"/>
          <w:szCs w:val="24"/>
        </w:rPr>
        <w:t xml:space="preserve">Red flags — score down or seek clarification</w:t>
      </w:r>
    </w:p>
    <w:p>
      <w:pPr>
        <w:pStyle w:val="ListParagraph"/>
        <w:numPr>
          <w:ilvl w:val="0"/>
          <w:numId w:val="3"/>
        </w:numPr>
        <w:spacing w:after="70" w:line="280"/>
      </w:pPr>
      <w:r>
        <w:rPr>
          <w:rFonts w:ascii="Calibri" w:cs="Calibri" w:eastAsia="Calibri" w:hAnsi="Calibri"/>
          <w:color w:val="1E293B"/>
          <w:sz w:val="21"/>
          <w:szCs w:val="21"/>
        </w:rPr>
        <w:t xml:space="preserve">"SCORM-compliant" with no version, edition or target LMS named anywhere in the proposal.</w:t>
      </w:r>
    </w:p>
    <w:p>
      <w:pPr>
        <w:pStyle w:val="ListParagraph"/>
        <w:numPr>
          <w:ilvl w:val="0"/>
          <w:numId w:val="3"/>
        </w:numPr>
        <w:spacing w:after="70" w:line="280"/>
      </w:pPr>
      <w:r>
        <w:rPr>
          <w:rFonts w:ascii="Calibri" w:cs="Calibri" w:eastAsia="Calibri" w:hAnsi="Calibri"/>
          <w:color w:val="1E293B"/>
          <w:sz w:val="21"/>
          <w:szCs w:val="21"/>
        </w:rPr>
        <w:t xml:space="preserve">"WCAG compliant" with no version, no level, no date and no conformance report attached.</w:t>
      </w:r>
    </w:p>
    <w:p>
      <w:pPr>
        <w:pStyle w:val="ListParagraph"/>
        <w:numPr>
          <w:ilvl w:val="0"/>
          <w:numId w:val="3"/>
        </w:numPr>
        <w:spacing w:after="70" w:line="280"/>
      </w:pPr>
      <w:r>
        <w:rPr>
          <w:rFonts w:ascii="Calibri" w:cs="Calibri" w:eastAsia="Calibri" w:hAnsi="Calibri"/>
          <w:color w:val="1E293B"/>
          <w:sz w:val="21"/>
          <w:szCs w:val="21"/>
        </w:rPr>
        <w:t xml:space="preserve">No analysis or storyboard gate — the plan runs from kickoff straight into development.</w:t>
      </w:r>
    </w:p>
    <w:p>
      <w:pPr>
        <w:pStyle w:val="ListParagraph"/>
        <w:numPr>
          <w:ilvl w:val="0"/>
          <w:numId w:val="3"/>
        </w:numPr>
        <w:spacing w:after="70" w:line="280"/>
      </w:pPr>
      <w:r>
        <w:rPr>
          <w:rFonts w:ascii="Calibri" w:cs="Calibri" w:eastAsia="Calibri" w:hAnsi="Calibri"/>
          <w:color w:val="1E293B"/>
          <w:sz w:val="21"/>
          <w:szCs w:val="21"/>
        </w:rPr>
        <w:t xml:space="preserve">Silence or vagueness on IP, or source files described only as "project files will be provided".</w:t>
      </w:r>
    </w:p>
    <w:p>
      <w:pPr>
        <w:pStyle w:val="ListParagraph"/>
        <w:numPr>
          <w:ilvl w:val="0"/>
          <w:numId w:val="3"/>
        </w:numPr>
        <w:spacing w:after="70" w:line="280"/>
      </w:pPr>
      <w:r>
        <w:rPr>
          <w:rFonts w:ascii="Calibri" w:cs="Calibri" w:eastAsia="Calibri" w:hAnsi="Calibri"/>
          <w:color w:val="1E293B"/>
          <w:sz w:val="21"/>
          <w:szCs w:val="21"/>
        </w:rPr>
        <w:t xml:space="preserve">Cannot produce a reference on a long-term contract, only recent launches.</w:t>
      </w:r>
    </w:p>
    <w:p>
      <w:pPr>
        <w:pStyle w:val="ListParagraph"/>
        <w:numPr>
          <w:ilvl w:val="0"/>
          <w:numId w:val="3"/>
        </w:numPr>
        <w:spacing w:after="70" w:line="280"/>
      </w:pPr>
      <w:r>
        <w:rPr>
          <w:rFonts w:ascii="Calibri" w:cs="Calibri" w:eastAsia="Calibri" w:hAnsi="Calibri"/>
          <w:color w:val="1E293B"/>
          <w:sz w:val="21"/>
          <w:szCs w:val="21"/>
        </w:rPr>
        <w:t xml:space="preserve">The proposal team and the delivery team are visibly different people, with unrestricted substitution.</w:t>
      </w:r>
    </w:p>
    <w:p>
      <w:pPr>
        <w:pStyle w:val="ListParagraph"/>
        <w:numPr>
          <w:ilvl w:val="0"/>
          <w:numId w:val="3"/>
        </w:numPr>
        <w:spacing w:after="70" w:line="280"/>
      </w:pPr>
      <w:r>
        <w:rPr>
          <w:rFonts w:ascii="Calibri" w:cs="Calibri" w:eastAsia="Calibri" w:hAnsi="Calibri"/>
          <w:color w:val="1E293B"/>
          <w:sz w:val="21"/>
          <w:szCs w:val="21"/>
        </w:rPr>
        <w:t xml:space="preserve">Revision rounds quoted as a number with no definition of a round and no cost for an extra one.</w:t>
      </w:r>
    </w:p>
    <w:p>
      <w:pPr>
        <w:pStyle w:val="ListParagraph"/>
        <w:numPr>
          <w:ilvl w:val="0"/>
          <w:numId w:val="3"/>
        </w:numPr>
        <w:spacing w:after="70" w:line="280"/>
      </w:pPr>
      <w:r>
        <w:rPr>
          <w:rFonts w:ascii="Calibri" w:cs="Calibri" w:eastAsia="Calibri" w:hAnsi="Calibri"/>
          <w:color w:val="1E293B"/>
          <w:sz w:val="21"/>
          <w:szCs w:val="21"/>
        </w:rPr>
        <w:t xml:space="preserve">Per-finished-hour or per-minute pricing with no breakdown, quoted before anyone read the source material.</w:t>
      </w:r>
    </w:p>
    <w:p>
      <w:pPr>
        <w:pStyle w:val="ListParagraph"/>
        <w:numPr>
          <w:ilvl w:val="0"/>
          <w:numId w:val="3"/>
        </w:numPr>
        <w:spacing w:after="70" w:line="280"/>
      </w:pPr>
      <w:r>
        <w:rPr>
          <w:rFonts w:ascii="Calibri" w:cs="Calibri" w:eastAsia="Calibri" w:hAnsi="Calibri"/>
          <w:color w:val="1E293B"/>
          <w:sz w:val="21"/>
          <w:szCs w:val="21"/>
        </w:rPr>
        <w:t xml:space="preserve">A timeline with no dependency on our SME availability — it means the real bottleneck has not been planned for.</w:t>
      </w:r>
    </w:p>
    <w:p>
      <w:pPr>
        <w:pStyle w:val="ListParagraph"/>
        <w:numPr>
          <w:ilvl w:val="0"/>
          <w:numId w:val="3"/>
        </w:numPr>
        <w:spacing w:after="70" w:line="280"/>
      </w:pPr>
      <w:r>
        <w:rPr>
          <w:rFonts w:ascii="Calibri" w:cs="Calibri" w:eastAsia="Calibri" w:hAnsi="Calibri"/>
          <w:color w:val="1E293B"/>
          <w:sz w:val="21"/>
          <w:szCs w:val="21"/>
        </w:rPr>
        <w:t xml:space="preserve">Materially cheapest bid at the same stated scope: check the QA, accessibility and project management hours before celebrating.</w:t>
      </w:r>
    </w:p>
    <w:p>
      <w:pPr>
        <w:pStyle w:val="Heading2"/>
        <w:spacing w:after="120" w:before="260"/>
      </w:pPr>
      <w:r>
        <w:rPr>
          <w:rFonts w:ascii="Calibri" w:cs="Calibri" w:eastAsia="Calibri" w:hAnsi="Calibri"/>
          <w:b/>
          <w:bCs/>
          <w:color w:val="2563EB"/>
          <w:sz w:val="24"/>
          <w:szCs w:val="24"/>
        </w:rPr>
        <w:t xml:space="preserve">Sources behind this template</w:t>
      </w:r>
    </w:p>
    <w:p>
      <w:pPr>
        <w:pStyle w:val="ListParagraph"/>
        <w:numPr>
          <w:ilvl w:val="0"/>
          <w:numId w:val="3"/>
        </w:numPr>
        <w:spacing w:after="70" w:line="280"/>
      </w:pPr>
      <w:r>
        <w:rPr>
          <w:rFonts w:ascii="Calibri" w:cs="Calibri" w:eastAsia="Calibri" w:hAnsi="Calibri"/>
          <w:color w:val="1E293B"/>
          <w:sz w:val="21"/>
          <w:szCs w:val="21"/>
        </w:rPr>
        <w:t xml:space="preserve">ECMWF, RFP/2025/385 eLearning Modules, July 2025 — published weights, IP transfer on acceptance, maintenance day budget.</w:t>
      </w:r>
    </w:p>
    <w:p>
      <w:pPr>
        <w:pStyle w:val="ListParagraph"/>
        <w:numPr>
          <w:ilvl w:val="0"/>
          <w:numId w:val="3"/>
        </w:numPr>
        <w:spacing w:after="70" w:line="280"/>
      </w:pPr>
      <w:r>
        <w:rPr>
          <w:rFonts w:ascii="Calibri" w:cs="Calibri" w:eastAsia="Calibri" w:hAnsi="Calibri"/>
          <w:color w:val="1E293B"/>
          <w:sz w:val="21"/>
          <w:szCs w:val="21"/>
        </w:rPr>
        <w:t xml:space="preserve">Arizona Board of Regents, RFP #L312502 Course and Curriculum Development Services, June 2025 — 10% pricing weight, limiting criteria, work-for-hire clause, four-product scope model.</w:t>
      </w:r>
    </w:p>
    <w:p>
      <w:pPr>
        <w:pStyle w:val="ListParagraph"/>
        <w:numPr>
          <w:ilvl w:val="0"/>
          <w:numId w:val="3"/>
        </w:numPr>
        <w:spacing w:after="70" w:line="280"/>
      </w:pPr>
      <w:r>
        <w:rPr>
          <w:rFonts w:ascii="Calibri" w:cs="Calibri" w:eastAsia="Calibri" w:hAnsi="Calibri"/>
          <w:color w:val="1E293B"/>
          <w:sz w:val="21"/>
          <w:szCs w:val="21"/>
        </w:rPr>
        <w:t xml:space="preserve">ISO, RFP eLearning Course on Fundamentals of Conformity Assessment and CASCO Toolbox v2.0, June 2024 — three-stage evaluation, source-file handover language, CHF 100,000 cap.</w:t>
      </w:r>
    </w:p>
    <w:p>
      <w:pPr>
        <w:pStyle w:val="ListParagraph"/>
        <w:numPr>
          <w:ilvl w:val="0"/>
          <w:numId w:val="3"/>
        </w:numPr>
        <w:spacing w:after="70" w:line="280"/>
      </w:pPr>
      <w:r>
        <w:rPr>
          <w:rFonts w:ascii="Calibri" w:cs="Calibri" w:eastAsia="Calibri" w:hAnsi="Calibri"/>
          <w:color w:val="1E293B"/>
          <w:sz w:val="21"/>
          <w:szCs w:val="21"/>
        </w:rPr>
        <w:t xml:space="preserve">State Bar of California, RFP E-Learning Services, October 2024 — 50/30/10/10 weights, rights in work product, proprietary-format disclosure clause, browser matrix.</w:t>
      </w:r>
    </w:p>
    <w:p>
      <w:pPr>
        <w:pStyle w:val="ListParagraph"/>
        <w:numPr>
          <w:ilvl w:val="0"/>
          <w:numId w:val="3"/>
        </w:numPr>
        <w:spacing w:after="70" w:line="280"/>
      </w:pPr>
      <w:r>
        <w:rPr>
          <w:rFonts w:ascii="Calibri" w:cs="Calibri" w:eastAsia="Calibri" w:hAnsi="Calibri"/>
          <w:color w:val="1E293B"/>
          <w:sz w:val="21"/>
          <w:szCs w:val="21"/>
        </w:rPr>
        <w:t xml:space="preserve">AARFP, Instructional Design RFP, March 2026 — weights including 15% accessibility, five-page limit.</w:t>
      </w:r>
    </w:p>
    <w:p>
      <w:pPr>
        <w:pStyle w:val="ListParagraph"/>
        <w:numPr>
          <w:ilvl w:val="0"/>
          <w:numId w:val="3"/>
        </w:numPr>
        <w:spacing w:after="70" w:line="280"/>
      </w:pPr>
      <w:r>
        <w:rPr>
          <w:rFonts w:ascii="Calibri" w:cs="Calibri" w:eastAsia="Calibri" w:hAnsi="Calibri"/>
          <w:color w:val="1E293B"/>
          <w:sz w:val="21"/>
          <w:szCs w:val="21"/>
        </w:rPr>
        <w:t xml:space="preserve">W3C, What's New in WCAG 2.2; W3C, Text size in translation. ITI, VPAT 2.5Rev, April 2025.</w:t>
      </w:r>
    </w:p>
    <w:p>
      <w:pPr>
        <w:pStyle w:val="ListParagraph"/>
        <w:numPr>
          <w:ilvl w:val="0"/>
          <w:numId w:val="3"/>
        </w:numPr>
        <w:spacing w:after="70" w:line="280"/>
      </w:pPr>
      <w:r>
        <w:rPr>
          <w:rFonts w:ascii="Calibri" w:cs="Calibri" w:eastAsia="Calibri" w:hAnsi="Calibri"/>
          <w:color w:val="1E293B"/>
          <w:sz w:val="21"/>
          <w:szCs w:val="21"/>
        </w:rPr>
        <w:t xml:space="preserve">US DOJ, Extension of Compliance Dates for ADA Title II web rule, Federal Register, 20 April 2026. US HHS, Section 504 deadline extension, 7 May 2026.</w:t>
      </w:r>
    </w:p>
    <w:p>
      <w:pPr>
        <w:pStyle w:val="ListParagraph"/>
        <w:numPr>
          <w:ilvl w:val="0"/>
          <w:numId w:val="3"/>
        </w:numPr>
        <w:spacing w:after="70" w:line="280"/>
      </w:pPr>
      <w:r>
        <w:rPr>
          <w:rFonts w:ascii="Calibri" w:cs="Calibri" w:eastAsia="Calibri" w:hAnsi="Calibri"/>
          <w:color w:val="1E293B"/>
          <w:sz w:val="21"/>
          <w:szCs w:val="21"/>
        </w:rPr>
        <w:t xml:space="preserve">Rustici, SCORM versions; Workday Learning components; Cornerstone Course Asset Connector; Docebo SCORM and xAPI documentation.</w:t>
      </w:r>
    </w:p>
    <w:p>
      <w:pPr>
        <w:pStyle w:val="ListParagraph"/>
        <w:numPr>
          <w:ilvl w:val="0"/>
          <w:numId w:val="3"/>
        </w:numPr>
        <w:spacing w:after="70" w:line="280"/>
      </w:pPr>
      <w:r>
        <w:rPr>
          <w:rFonts w:ascii="Calibri" w:cs="Calibri" w:eastAsia="Calibri" w:hAnsi="Calibri"/>
          <w:color w:val="1E293B"/>
          <w:sz w:val="21"/>
          <w:szCs w:val="21"/>
        </w:rPr>
        <w:t xml:space="preserve">IEEE 9274.1.1-2023 (xAPI 2.0) and ISO/IEC/IEEE 39274-1-1:2025; cmi5 Quartz 1st Edition and the cmi5 adoption list.</w:t>
      </w:r>
    </w:p>
    <w:p>
      <w:pPr>
        <w:spacing w:before="400"/>
      </w:pPr>
      <w:r>
        <w:rPr>
          <w:rFonts w:ascii="Calibri" w:cs="Calibri" w:eastAsia="Calibri" w:hAnsi="Calibri"/>
          <w:color w:val="64748B"/>
          <w:sz w:val="19"/>
          <w:szCs w:val="19"/>
        </w:rPr>
        <w:t xml:space="preserve">Maintained by EdzLMS. If this saved you time, a link is appreciated: </w:t>
      </w:r>
      <w:hyperlink w:history="1" r:id="rIdhzduhqo50r-uznynswrvc">
        <w:r>
          <w:rPr>
            <w:rFonts w:ascii="Calibri" w:cs="Calibri" w:eastAsia="Calibri" w:hAnsi="Calibri"/>
            <w:color w:val="2563EB"/>
            <w:sz w:val="19"/>
            <w:szCs w:val="19"/>
            <w:u w:val="single"/>
          </w:rPr>
          <w:t xml:space="preserve">edzlms.com/elearning-rfp-template</w:t>
        </w:r>
      </w:hyperlink>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4748B"/>
        <w:sz w:val="16"/>
        <w:szCs w:val="16"/>
      </w:rPr>
      <w:t xml:space="preserve">eLearning Content Development RFP Template — edzlms.com   |   Page </w:t>
    </w:r>
    <w:r>
      <w:rPr>
        <w:rFonts w:ascii="Calibri" w:cs="Calibri" w:eastAsia="Calibri" w:hAnsi="Calibri"/>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abstractNum w:abstractNumId="3" w15:restartNumberingAfterBreak="0">
    <w:multiLevelType w:val="hybridMultilevel"/>
    <w:lvl w:ilvl="0" w15:tentative="1">
      <w:start w:val="1"/>
      <w:numFmt w:val="decimal"/>
      <w:lvlText w:val="%1."/>
      <w:lvlJc w:val="left"/>
      <w:pPr>
        <w:ind w:left="460" w:hanging="28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lznnhinq5zpzva0ehrea7" Type="http://schemas.openxmlformats.org/officeDocument/2006/relationships/hyperlink" Target="https://edzlms.com/elearning-rfp-template/" TargetMode="External"/><Relationship Id="rIdhzduhqo50r-uznynswrvc" Type="http://schemas.openxmlformats.org/officeDocument/2006/relationships/hyperlink" Target="https://edzlms.com/elearning-rfp-template/"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Content Development RFP Template with Scoring Rubric</dc:title>
  <dc:creator>EdzLMS</dc:creator>
  <dc:description>A free, ungated RFP template for buying custom eLearning content development, with a weighted scoring rubric, pass/fail gates and IP clauses.</dc:description>
  <cp:lastModifiedBy>Un-named</cp:lastModifiedBy>
  <cp:revision>1</cp:revision>
  <dcterms:created xsi:type="dcterms:W3CDTF">2026-08-19T04:08:38.187Z</dcterms:created>
  <dcterms:modified xsi:type="dcterms:W3CDTF">2026-08-19T04:08:38.188Z</dcterms:modified>
</cp:coreProperties>
</file>

<file path=docProps/custom.xml><?xml version="1.0" encoding="utf-8"?>
<Properties xmlns="http://schemas.openxmlformats.org/officeDocument/2006/custom-properties" xmlns:vt="http://schemas.openxmlformats.org/officeDocument/2006/docPropsVTypes"/>
</file>